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4C5FF" w14:textId="77777777" w:rsidR="00B72132" w:rsidRDefault="00B72132" w:rsidP="00B72132">
      <w:pPr>
        <w:sectPr w:rsidR="00B72132" w:rsidSect="000D7556">
          <w:headerReference w:type="default" r:id="rId12"/>
          <w:footerReference w:type="default" r:id="rId13"/>
          <w:headerReference w:type="first" r:id="rId14"/>
          <w:footerReference w:type="first" r:id="rId15"/>
          <w:pgSz w:w="11906" w:h="16838"/>
          <w:pgMar w:top="2268" w:right="1021" w:bottom="1021" w:left="1021" w:header="454" w:footer="556" w:gutter="0"/>
          <w:cols w:space="708"/>
          <w:titlePg/>
          <w:docGrid w:linePitch="360"/>
        </w:sectPr>
      </w:pPr>
    </w:p>
    <w:bookmarkStart w:id="0" w:name="_Toc142043216"/>
    <w:p w14:paraId="66BCC165" w14:textId="6623700D" w:rsidR="00EE0481" w:rsidRPr="001E27F8" w:rsidRDefault="00000000" w:rsidP="00AEC026">
      <w:pPr>
        <w:pStyle w:val="Heading1"/>
      </w:pPr>
      <w:sdt>
        <w:sdtPr>
          <w:alias w:val="Title"/>
          <w:tag w:val="title"/>
          <w:id w:val="1036308880"/>
          <w:placeholder>
            <w:docPart w:val="F2FB09A5FFB4BB47954469CFBB4655C6"/>
          </w:placeholder>
          <w:dataBinding w:prefixMappings="xmlns:ns0='http://purl.org/dc/elements/1.1/' xmlns:ns1='http://schemas.openxmlformats.org/package/2006/metadata/core-properties' " w:xpath="/ns1:coreProperties[1]/ns0:title[1]" w:storeItemID="{6C3C8BC8-F283-45AE-878A-BAB7291924A1}"/>
          <w:text/>
        </w:sdtPr>
        <w:sdtContent>
          <w:r w:rsidR="005A7F13">
            <w:t>Pharmacy Technician Workforce Development Programme</w:t>
          </w:r>
        </w:sdtContent>
      </w:sdt>
      <w:bookmarkEnd w:id="0"/>
    </w:p>
    <w:p w14:paraId="72541FF9" w14:textId="2DCE2BE9" w:rsidR="00F126B3" w:rsidRDefault="00BE3C57" w:rsidP="00905552">
      <w:pPr>
        <w:pStyle w:val="Subheading"/>
      </w:pPr>
      <w:r>
        <w:t>NHS England, Workforce, Training and Education Directorate</w:t>
      </w:r>
    </w:p>
    <w:p w14:paraId="205B7CF5" w14:textId="77777777" w:rsidR="007375BC" w:rsidRPr="007375BC" w:rsidRDefault="007375BC" w:rsidP="007375BC">
      <w:r w:rsidRPr="0053542E">
        <w:rPr>
          <w:noProof/>
        </w:rPr>
        <w:drawing>
          <wp:inline distT="0" distB="0" distL="0" distR="0" wp14:anchorId="39345DFF" wp14:editId="2906C399">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70D59340" w14:textId="77777777" w:rsidR="007375BC" w:rsidRPr="007375BC" w:rsidRDefault="007375BC" w:rsidP="007375BC">
      <w:pPr>
        <w:sectPr w:rsidR="007375BC" w:rsidRPr="007375BC" w:rsidSect="000D7556">
          <w:headerReference w:type="default" r:id="rId17"/>
          <w:footerReference w:type="default" r:id="rId18"/>
          <w:headerReference w:type="first" r:id="rId19"/>
          <w:type w:val="continuous"/>
          <w:pgSz w:w="11906" w:h="16838"/>
          <w:pgMar w:top="1021" w:right="1021" w:bottom="1021" w:left="1021" w:header="454" w:footer="556" w:gutter="0"/>
          <w:cols w:space="708"/>
          <w:titlePg/>
          <w:docGrid w:linePitch="360"/>
        </w:sectPr>
      </w:pPr>
    </w:p>
    <w:p w14:paraId="4C7EECB2" w14:textId="77777777" w:rsidR="00447E51" w:rsidRPr="00355C51" w:rsidRDefault="00447E51" w:rsidP="008A3E2F">
      <w:pPr>
        <w:pStyle w:val="TOCHeading"/>
        <w:spacing w:after="360"/>
      </w:pPr>
      <w:r w:rsidRPr="00355C51">
        <w:lastRenderedPageBreak/>
        <w:t>Contents</w:t>
      </w:r>
    </w:p>
    <w:p w14:paraId="7CAF2E93" w14:textId="3AE9185D" w:rsidR="00C405BA" w:rsidRDefault="00355C51">
      <w:pPr>
        <w:pStyle w:val="TOC1"/>
        <w:tabs>
          <w:tab w:val="left" w:pos="720"/>
        </w:tabs>
        <w:rPr>
          <w:rFonts w:asciiTheme="minorHAnsi" w:eastAsiaTheme="minorEastAsia" w:hAnsiTheme="minorHAnsi" w:cstheme="minorBidi"/>
          <w:color w:val="auto"/>
          <w:kern w:val="2"/>
          <w:sz w:val="24"/>
          <w:lang w:eastAsia="en-GB"/>
          <w14:ligatures w14:val="standardContextual"/>
        </w:rPr>
      </w:pPr>
      <w:r>
        <w:fldChar w:fldCharType="begin"/>
      </w:r>
      <w:r>
        <w:instrText xml:space="preserve"> TOC \h \z \t "Heading 2,1,Heading 3,2,Heading 4,3,h2 numbered,1,h3 numbered,2,h4 numbered,3" </w:instrText>
      </w:r>
      <w:r>
        <w:fldChar w:fldCharType="separate"/>
      </w:r>
      <w:hyperlink w:anchor="_Toc164757275" w:history="1">
        <w:r w:rsidR="00C405BA" w:rsidRPr="00796BF0">
          <w:rPr>
            <w:rStyle w:val="Hyperlink"/>
          </w:rPr>
          <w:t>1.</w:t>
        </w:r>
        <w:r w:rsidR="00C405BA">
          <w:rPr>
            <w:rFonts w:asciiTheme="minorHAnsi" w:eastAsiaTheme="minorEastAsia" w:hAnsiTheme="minorHAnsi" w:cstheme="minorBidi"/>
            <w:color w:val="auto"/>
            <w:kern w:val="2"/>
            <w:sz w:val="24"/>
            <w:lang w:eastAsia="en-GB"/>
            <w14:ligatures w14:val="standardContextual"/>
          </w:rPr>
          <w:tab/>
        </w:r>
        <w:r w:rsidR="00C405BA" w:rsidRPr="00796BF0">
          <w:rPr>
            <w:rStyle w:val="Hyperlink"/>
          </w:rPr>
          <w:t>EXECUTIVE SUMMARY</w:t>
        </w:r>
        <w:r w:rsidR="00C405BA">
          <w:rPr>
            <w:webHidden/>
          </w:rPr>
          <w:tab/>
        </w:r>
        <w:r w:rsidR="00C405BA">
          <w:rPr>
            <w:webHidden/>
          </w:rPr>
          <w:fldChar w:fldCharType="begin"/>
        </w:r>
        <w:r w:rsidR="00C405BA">
          <w:rPr>
            <w:webHidden/>
          </w:rPr>
          <w:instrText xml:space="preserve"> PAGEREF _Toc164757275 \h </w:instrText>
        </w:r>
        <w:r w:rsidR="00C405BA">
          <w:rPr>
            <w:webHidden/>
          </w:rPr>
        </w:r>
        <w:r w:rsidR="00C405BA">
          <w:rPr>
            <w:webHidden/>
          </w:rPr>
          <w:fldChar w:fldCharType="separate"/>
        </w:r>
        <w:r w:rsidR="00DB65B3">
          <w:rPr>
            <w:webHidden/>
          </w:rPr>
          <w:t>3</w:t>
        </w:r>
        <w:r w:rsidR="00C405BA">
          <w:rPr>
            <w:webHidden/>
          </w:rPr>
          <w:fldChar w:fldCharType="end"/>
        </w:r>
      </w:hyperlink>
    </w:p>
    <w:p w14:paraId="679AAB8B" w14:textId="78D5E595" w:rsidR="00C405BA" w:rsidRDefault="00C405BA" w:rsidP="00C405BA">
      <w:pPr>
        <w:pStyle w:val="TOC1"/>
        <w:ind w:left="426"/>
        <w:rPr>
          <w:rFonts w:asciiTheme="minorHAnsi" w:eastAsiaTheme="minorEastAsia" w:hAnsiTheme="minorHAnsi" w:cstheme="minorBidi"/>
          <w:color w:val="auto"/>
          <w:kern w:val="2"/>
          <w:sz w:val="24"/>
          <w:lang w:eastAsia="en-GB"/>
          <w14:ligatures w14:val="standardContextual"/>
        </w:rPr>
      </w:pPr>
      <w:hyperlink w:anchor="_Toc164757276" w:history="1">
        <w:r w:rsidRPr="00796BF0">
          <w:rPr>
            <w:rStyle w:val="Hyperlink"/>
          </w:rPr>
          <w:t>The vision</w:t>
        </w:r>
        <w:r>
          <w:rPr>
            <w:webHidden/>
          </w:rPr>
          <w:tab/>
        </w:r>
        <w:r>
          <w:rPr>
            <w:webHidden/>
          </w:rPr>
          <w:fldChar w:fldCharType="begin"/>
        </w:r>
        <w:r>
          <w:rPr>
            <w:webHidden/>
          </w:rPr>
          <w:instrText xml:space="preserve"> PAGEREF _Toc164757276 \h </w:instrText>
        </w:r>
        <w:r>
          <w:rPr>
            <w:webHidden/>
          </w:rPr>
        </w:r>
        <w:r>
          <w:rPr>
            <w:webHidden/>
          </w:rPr>
          <w:fldChar w:fldCharType="separate"/>
        </w:r>
        <w:r w:rsidR="00DB65B3">
          <w:rPr>
            <w:webHidden/>
          </w:rPr>
          <w:t>3</w:t>
        </w:r>
        <w:r>
          <w:rPr>
            <w:webHidden/>
          </w:rPr>
          <w:fldChar w:fldCharType="end"/>
        </w:r>
      </w:hyperlink>
    </w:p>
    <w:p w14:paraId="33B3F44D" w14:textId="47926AC5" w:rsidR="00C405BA" w:rsidRDefault="00C405BA" w:rsidP="00C405BA">
      <w:pPr>
        <w:pStyle w:val="TOC1"/>
        <w:ind w:left="426"/>
        <w:rPr>
          <w:rFonts w:asciiTheme="minorHAnsi" w:eastAsiaTheme="minorEastAsia" w:hAnsiTheme="minorHAnsi" w:cstheme="minorBidi"/>
          <w:color w:val="auto"/>
          <w:kern w:val="2"/>
          <w:sz w:val="24"/>
          <w:lang w:eastAsia="en-GB"/>
          <w14:ligatures w14:val="standardContextual"/>
        </w:rPr>
      </w:pPr>
      <w:hyperlink w:anchor="_Toc164757277" w:history="1">
        <w:r w:rsidRPr="00796BF0">
          <w:rPr>
            <w:rStyle w:val="Hyperlink"/>
          </w:rPr>
          <w:t>The case for change</w:t>
        </w:r>
        <w:r>
          <w:rPr>
            <w:webHidden/>
          </w:rPr>
          <w:tab/>
        </w:r>
        <w:r>
          <w:rPr>
            <w:webHidden/>
          </w:rPr>
          <w:fldChar w:fldCharType="begin"/>
        </w:r>
        <w:r>
          <w:rPr>
            <w:webHidden/>
          </w:rPr>
          <w:instrText xml:space="preserve"> PAGEREF _Toc164757277 \h </w:instrText>
        </w:r>
        <w:r>
          <w:rPr>
            <w:webHidden/>
          </w:rPr>
        </w:r>
        <w:r>
          <w:rPr>
            <w:webHidden/>
          </w:rPr>
          <w:fldChar w:fldCharType="separate"/>
        </w:r>
        <w:r w:rsidR="00DB65B3">
          <w:rPr>
            <w:webHidden/>
          </w:rPr>
          <w:t>3</w:t>
        </w:r>
        <w:r>
          <w:rPr>
            <w:webHidden/>
          </w:rPr>
          <w:fldChar w:fldCharType="end"/>
        </w:r>
      </w:hyperlink>
    </w:p>
    <w:p w14:paraId="19AFEAAB" w14:textId="12A7A5A1" w:rsidR="00C405BA" w:rsidRDefault="00C405BA" w:rsidP="00C405BA">
      <w:pPr>
        <w:pStyle w:val="TOC1"/>
        <w:ind w:left="426"/>
        <w:rPr>
          <w:rFonts w:asciiTheme="minorHAnsi" w:eastAsiaTheme="minorEastAsia" w:hAnsiTheme="minorHAnsi" w:cstheme="minorBidi"/>
          <w:color w:val="auto"/>
          <w:kern w:val="2"/>
          <w:sz w:val="24"/>
          <w:lang w:eastAsia="en-GB"/>
          <w14:ligatures w14:val="standardContextual"/>
        </w:rPr>
      </w:pPr>
      <w:hyperlink w:anchor="_Toc164757278" w:history="1">
        <w:r w:rsidRPr="00796BF0">
          <w:rPr>
            <w:rStyle w:val="Hyperlink"/>
          </w:rPr>
          <w:t>Sustaining the workforce, now and in the future</w:t>
        </w:r>
        <w:r>
          <w:rPr>
            <w:webHidden/>
          </w:rPr>
          <w:tab/>
        </w:r>
        <w:r>
          <w:rPr>
            <w:webHidden/>
          </w:rPr>
          <w:fldChar w:fldCharType="begin"/>
        </w:r>
        <w:r>
          <w:rPr>
            <w:webHidden/>
          </w:rPr>
          <w:instrText xml:space="preserve"> PAGEREF _Toc164757278 \h </w:instrText>
        </w:r>
        <w:r>
          <w:rPr>
            <w:webHidden/>
          </w:rPr>
        </w:r>
        <w:r>
          <w:rPr>
            <w:webHidden/>
          </w:rPr>
          <w:fldChar w:fldCharType="separate"/>
        </w:r>
        <w:r w:rsidR="00DB65B3">
          <w:rPr>
            <w:webHidden/>
          </w:rPr>
          <w:t>5</w:t>
        </w:r>
        <w:r>
          <w:rPr>
            <w:webHidden/>
          </w:rPr>
          <w:fldChar w:fldCharType="end"/>
        </w:r>
      </w:hyperlink>
    </w:p>
    <w:p w14:paraId="0CCA5A8C" w14:textId="2D551F3C" w:rsidR="00C405BA" w:rsidRDefault="00C405BA">
      <w:pPr>
        <w:pStyle w:val="TOC1"/>
        <w:tabs>
          <w:tab w:val="left" w:pos="720"/>
        </w:tabs>
        <w:rPr>
          <w:rFonts w:asciiTheme="minorHAnsi" w:eastAsiaTheme="minorEastAsia" w:hAnsiTheme="minorHAnsi" w:cstheme="minorBidi"/>
          <w:color w:val="auto"/>
          <w:kern w:val="2"/>
          <w:sz w:val="24"/>
          <w:lang w:eastAsia="en-GB"/>
          <w14:ligatures w14:val="standardContextual"/>
        </w:rPr>
      </w:pPr>
      <w:hyperlink w:anchor="_Toc164757279" w:history="1">
        <w:r w:rsidRPr="00796BF0">
          <w:rPr>
            <w:rStyle w:val="Hyperlink"/>
          </w:rPr>
          <w:t>2.</w:t>
        </w:r>
        <w:r>
          <w:rPr>
            <w:rFonts w:asciiTheme="minorHAnsi" w:eastAsiaTheme="minorEastAsia" w:hAnsiTheme="minorHAnsi" w:cstheme="minorBidi"/>
            <w:color w:val="auto"/>
            <w:kern w:val="2"/>
            <w:sz w:val="24"/>
            <w:lang w:eastAsia="en-GB"/>
            <w14:ligatures w14:val="standardContextual"/>
          </w:rPr>
          <w:tab/>
        </w:r>
        <w:r w:rsidRPr="00796BF0">
          <w:rPr>
            <w:rStyle w:val="Hyperlink"/>
          </w:rPr>
          <w:t>INTRODUCTION</w:t>
        </w:r>
        <w:r>
          <w:rPr>
            <w:webHidden/>
          </w:rPr>
          <w:tab/>
        </w:r>
        <w:r>
          <w:rPr>
            <w:webHidden/>
          </w:rPr>
          <w:fldChar w:fldCharType="begin"/>
        </w:r>
        <w:r>
          <w:rPr>
            <w:webHidden/>
          </w:rPr>
          <w:instrText xml:space="preserve"> PAGEREF _Toc164757279 \h </w:instrText>
        </w:r>
        <w:r>
          <w:rPr>
            <w:webHidden/>
          </w:rPr>
        </w:r>
        <w:r>
          <w:rPr>
            <w:webHidden/>
          </w:rPr>
          <w:fldChar w:fldCharType="separate"/>
        </w:r>
        <w:r w:rsidR="00DB65B3">
          <w:rPr>
            <w:webHidden/>
          </w:rPr>
          <w:t>7</w:t>
        </w:r>
        <w:r>
          <w:rPr>
            <w:webHidden/>
          </w:rPr>
          <w:fldChar w:fldCharType="end"/>
        </w:r>
      </w:hyperlink>
    </w:p>
    <w:p w14:paraId="4A0057B8" w14:textId="1A5EBFEA" w:rsidR="00C405BA" w:rsidRDefault="00C405BA" w:rsidP="00C405BA">
      <w:pPr>
        <w:pStyle w:val="TOC1"/>
        <w:ind w:left="426"/>
        <w:rPr>
          <w:rFonts w:asciiTheme="minorHAnsi" w:eastAsiaTheme="minorEastAsia" w:hAnsiTheme="minorHAnsi" w:cstheme="minorBidi"/>
          <w:color w:val="auto"/>
          <w:kern w:val="2"/>
          <w:sz w:val="24"/>
          <w:lang w:eastAsia="en-GB"/>
          <w14:ligatures w14:val="standardContextual"/>
        </w:rPr>
      </w:pPr>
      <w:hyperlink w:anchor="_Toc164757280" w:history="1">
        <w:r w:rsidRPr="00796BF0">
          <w:rPr>
            <w:rStyle w:val="Hyperlink"/>
          </w:rPr>
          <w:t>Workforce, Training and Education – Pharmacy Context</w:t>
        </w:r>
        <w:r>
          <w:rPr>
            <w:webHidden/>
          </w:rPr>
          <w:tab/>
        </w:r>
        <w:r>
          <w:rPr>
            <w:webHidden/>
          </w:rPr>
          <w:fldChar w:fldCharType="begin"/>
        </w:r>
        <w:r>
          <w:rPr>
            <w:webHidden/>
          </w:rPr>
          <w:instrText xml:space="preserve"> PAGEREF _Toc164757280 \h </w:instrText>
        </w:r>
        <w:r>
          <w:rPr>
            <w:webHidden/>
          </w:rPr>
        </w:r>
        <w:r>
          <w:rPr>
            <w:webHidden/>
          </w:rPr>
          <w:fldChar w:fldCharType="separate"/>
        </w:r>
        <w:r w:rsidR="00DB65B3">
          <w:rPr>
            <w:webHidden/>
          </w:rPr>
          <w:t>8</w:t>
        </w:r>
        <w:r>
          <w:rPr>
            <w:webHidden/>
          </w:rPr>
          <w:fldChar w:fldCharType="end"/>
        </w:r>
      </w:hyperlink>
    </w:p>
    <w:p w14:paraId="0A3203CA" w14:textId="1B7A4684" w:rsidR="00C405BA" w:rsidRDefault="00C405BA">
      <w:pPr>
        <w:pStyle w:val="TOC1"/>
        <w:tabs>
          <w:tab w:val="left" w:pos="720"/>
        </w:tabs>
        <w:rPr>
          <w:rFonts w:asciiTheme="minorHAnsi" w:eastAsiaTheme="minorEastAsia" w:hAnsiTheme="minorHAnsi" w:cstheme="minorBidi"/>
          <w:color w:val="auto"/>
          <w:kern w:val="2"/>
          <w:sz w:val="24"/>
          <w:lang w:eastAsia="en-GB"/>
          <w14:ligatures w14:val="standardContextual"/>
        </w:rPr>
      </w:pPr>
      <w:hyperlink w:anchor="_Toc164757281" w:history="1">
        <w:r w:rsidRPr="00796BF0">
          <w:rPr>
            <w:rStyle w:val="Hyperlink"/>
          </w:rPr>
          <w:t>3.</w:t>
        </w:r>
        <w:r>
          <w:rPr>
            <w:rFonts w:asciiTheme="minorHAnsi" w:eastAsiaTheme="minorEastAsia" w:hAnsiTheme="minorHAnsi" w:cstheme="minorBidi"/>
            <w:color w:val="auto"/>
            <w:kern w:val="2"/>
            <w:sz w:val="24"/>
            <w:lang w:eastAsia="en-GB"/>
            <w14:ligatures w14:val="standardContextual"/>
          </w:rPr>
          <w:tab/>
        </w:r>
        <w:r w:rsidRPr="00796BF0">
          <w:rPr>
            <w:rStyle w:val="Hyperlink"/>
          </w:rPr>
          <w:t>THE CASE FOR CHANGE</w:t>
        </w:r>
        <w:r>
          <w:rPr>
            <w:webHidden/>
          </w:rPr>
          <w:tab/>
        </w:r>
        <w:r>
          <w:rPr>
            <w:webHidden/>
          </w:rPr>
          <w:fldChar w:fldCharType="begin"/>
        </w:r>
        <w:r>
          <w:rPr>
            <w:webHidden/>
          </w:rPr>
          <w:instrText xml:space="preserve"> PAGEREF _Toc164757281 \h </w:instrText>
        </w:r>
        <w:r>
          <w:rPr>
            <w:webHidden/>
          </w:rPr>
        </w:r>
        <w:r>
          <w:rPr>
            <w:webHidden/>
          </w:rPr>
          <w:fldChar w:fldCharType="separate"/>
        </w:r>
        <w:r w:rsidR="00DB65B3">
          <w:rPr>
            <w:webHidden/>
          </w:rPr>
          <w:t>9</w:t>
        </w:r>
        <w:r>
          <w:rPr>
            <w:webHidden/>
          </w:rPr>
          <w:fldChar w:fldCharType="end"/>
        </w:r>
      </w:hyperlink>
    </w:p>
    <w:p w14:paraId="3BC81CF9" w14:textId="19F9778A" w:rsidR="00C405BA" w:rsidRDefault="00C405BA">
      <w:pPr>
        <w:pStyle w:val="TOC1"/>
        <w:tabs>
          <w:tab w:val="left" w:pos="720"/>
        </w:tabs>
        <w:rPr>
          <w:rFonts w:asciiTheme="minorHAnsi" w:eastAsiaTheme="minorEastAsia" w:hAnsiTheme="minorHAnsi" w:cstheme="minorBidi"/>
          <w:color w:val="auto"/>
          <w:kern w:val="2"/>
          <w:sz w:val="24"/>
          <w:lang w:eastAsia="en-GB"/>
          <w14:ligatures w14:val="standardContextual"/>
        </w:rPr>
      </w:pPr>
      <w:hyperlink w:anchor="_Toc164757282" w:history="1">
        <w:r w:rsidRPr="00796BF0">
          <w:rPr>
            <w:rStyle w:val="Hyperlink"/>
          </w:rPr>
          <w:t>4.</w:t>
        </w:r>
        <w:r>
          <w:rPr>
            <w:rFonts w:asciiTheme="minorHAnsi" w:eastAsiaTheme="minorEastAsia" w:hAnsiTheme="minorHAnsi" w:cstheme="minorBidi"/>
            <w:color w:val="auto"/>
            <w:kern w:val="2"/>
            <w:sz w:val="24"/>
            <w:lang w:eastAsia="en-GB"/>
            <w14:ligatures w14:val="standardContextual"/>
          </w:rPr>
          <w:tab/>
        </w:r>
        <w:r w:rsidRPr="00796BF0">
          <w:rPr>
            <w:rStyle w:val="Hyperlink"/>
          </w:rPr>
          <w:t>POLICY DRIVERS</w:t>
        </w:r>
        <w:r>
          <w:rPr>
            <w:webHidden/>
          </w:rPr>
          <w:tab/>
        </w:r>
        <w:r>
          <w:rPr>
            <w:webHidden/>
          </w:rPr>
          <w:fldChar w:fldCharType="begin"/>
        </w:r>
        <w:r>
          <w:rPr>
            <w:webHidden/>
          </w:rPr>
          <w:instrText xml:space="preserve"> PAGEREF _Toc164757282 \h </w:instrText>
        </w:r>
        <w:r>
          <w:rPr>
            <w:webHidden/>
          </w:rPr>
        </w:r>
        <w:r>
          <w:rPr>
            <w:webHidden/>
          </w:rPr>
          <w:fldChar w:fldCharType="separate"/>
        </w:r>
        <w:r w:rsidR="00DB65B3">
          <w:rPr>
            <w:webHidden/>
          </w:rPr>
          <w:t>11</w:t>
        </w:r>
        <w:r>
          <w:rPr>
            <w:webHidden/>
          </w:rPr>
          <w:fldChar w:fldCharType="end"/>
        </w:r>
      </w:hyperlink>
    </w:p>
    <w:p w14:paraId="070C45F7" w14:textId="2B105CB9" w:rsidR="00C405BA" w:rsidRDefault="00C405BA">
      <w:pPr>
        <w:pStyle w:val="TOC1"/>
        <w:tabs>
          <w:tab w:val="left" w:pos="720"/>
        </w:tabs>
        <w:rPr>
          <w:rFonts w:asciiTheme="minorHAnsi" w:eastAsiaTheme="minorEastAsia" w:hAnsiTheme="minorHAnsi" w:cstheme="minorBidi"/>
          <w:color w:val="auto"/>
          <w:kern w:val="2"/>
          <w:sz w:val="24"/>
          <w:lang w:eastAsia="en-GB"/>
          <w14:ligatures w14:val="standardContextual"/>
        </w:rPr>
      </w:pPr>
      <w:hyperlink w:anchor="_Toc164757283" w:history="1">
        <w:r w:rsidRPr="00796BF0">
          <w:rPr>
            <w:rStyle w:val="Hyperlink"/>
            <w:lang w:val="en-US"/>
          </w:rPr>
          <w:t>5.</w:t>
        </w:r>
        <w:r>
          <w:rPr>
            <w:rFonts w:asciiTheme="minorHAnsi" w:eastAsiaTheme="minorEastAsia" w:hAnsiTheme="minorHAnsi" w:cstheme="minorBidi"/>
            <w:color w:val="auto"/>
            <w:kern w:val="2"/>
            <w:sz w:val="24"/>
            <w:lang w:eastAsia="en-GB"/>
            <w14:ligatures w14:val="standardContextual"/>
          </w:rPr>
          <w:tab/>
        </w:r>
        <w:r w:rsidRPr="00796BF0">
          <w:rPr>
            <w:rStyle w:val="Hyperlink"/>
            <w:lang w:val="en-US"/>
          </w:rPr>
          <w:t>SUSTAINING THE WORKFORCE, NOW AND IN THE FUTURE</w:t>
        </w:r>
        <w:r>
          <w:rPr>
            <w:webHidden/>
          </w:rPr>
          <w:tab/>
        </w:r>
        <w:r>
          <w:rPr>
            <w:webHidden/>
          </w:rPr>
          <w:fldChar w:fldCharType="begin"/>
        </w:r>
        <w:r>
          <w:rPr>
            <w:webHidden/>
          </w:rPr>
          <w:instrText xml:space="preserve"> PAGEREF _Toc164757283 \h </w:instrText>
        </w:r>
        <w:r>
          <w:rPr>
            <w:webHidden/>
          </w:rPr>
        </w:r>
        <w:r>
          <w:rPr>
            <w:webHidden/>
          </w:rPr>
          <w:fldChar w:fldCharType="separate"/>
        </w:r>
        <w:r w:rsidR="00DB65B3">
          <w:rPr>
            <w:webHidden/>
          </w:rPr>
          <w:t>12</w:t>
        </w:r>
        <w:r>
          <w:rPr>
            <w:webHidden/>
          </w:rPr>
          <w:fldChar w:fldCharType="end"/>
        </w:r>
      </w:hyperlink>
    </w:p>
    <w:p w14:paraId="7CE4CF79" w14:textId="57952709" w:rsidR="00C405BA" w:rsidRDefault="00C405BA" w:rsidP="00C405BA">
      <w:pPr>
        <w:pStyle w:val="TOC1"/>
        <w:ind w:left="426"/>
        <w:rPr>
          <w:rFonts w:asciiTheme="minorHAnsi" w:eastAsiaTheme="minorEastAsia" w:hAnsiTheme="minorHAnsi" w:cstheme="minorBidi"/>
          <w:color w:val="auto"/>
          <w:kern w:val="2"/>
          <w:sz w:val="24"/>
          <w:lang w:eastAsia="en-GB"/>
          <w14:ligatures w14:val="standardContextual"/>
        </w:rPr>
      </w:pPr>
      <w:hyperlink w:anchor="_Toc164757284" w:history="1">
        <w:r w:rsidRPr="00796BF0">
          <w:rPr>
            <w:rStyle w:val="Hyperlink"/>
          </w:rPr>
          <w:t>Key priority areas</w:t>
        </w:r>
        <w:r>
          <w:rPr>
            <w:webHidden/>
          </w:rPr>
          <w:tab/>
        </w:r>
        <w:r>
          <w:rPr>
            <w:webHidden/>
          </w:rPr>
          <w:fldChar w:fldCharType="begin"/>
        </w:r>
        <w:r>
          <w:rPr>
            <w:webHidden/>
          </w:rPr>
          <w:instrText xml:space="preserve"> PAGEREF _Toc164757284 \h </w:instrText>
        </w:r>
        <w:r>
          <w:rPr>
            <w:webHidden/>
          </w:rPr>
        </w:r>
        <w:r>
          <w:rPr>
            <w:webHidden/>
          </w:rPr>
          <w:fldChar w:fldCharType="separate"/>
        </w:r>
        <w:r w:rsidR="00DB65B3">
          <w:rPr>
            <w:webHidden/>
          </w:rPr>
          <w:t>12</w:t>
        </w:r>
        <w:r>
          <w:rPr>
            <w:webHidden/>
          </w:rPr>
          <w:fldChar w:fldCharType="end"/>
        </w:r>
      </w:hyperlink>
    </w:p>
    <w:p w14:paraId="70F83E61" w14:textId="2E3544DC" w:rsidR="00C405BA" w:rsidRDefault="00C405BA">
      <w:pPr>
        <w:pStyle w:val="TOC1"/>
        <w:tabs>
          <w:tab w:val="left" w:pos="720"/>
        </w:tabs>
        <w:rPr>
          <w:rFonts w:asciiTheme="minorHAnsi" w:eastAsiaTheme="minorEastAsia" w:hAnsiTheme="minorHAnsi" w:cstheme="minorBidi"/>
          <w:color w:val="auto"/>
          <w:kern w:val="2"/>
          <w:sz w:val="24"/>
          <w:lang w:eastAsia="en-GB"/>
          <w14:ligatures w14:val="standardContextual"/>
        </w:rPr>
      </w:pPr>
      <w:hyperlink w:anchor="_Toc164757285" w:history="1">
        <w:r w:rsidRPr="00796BF0">
          <w:rPr>
            <w:rStyle w:val="Hyperlink"/>
          </w:rPr>
          <w:t>6.</w:t>
        </w:r>
        <w:r>
          <w:rPr>
            <w:rFonts w:asciiTheme="minorHAnsi" w:eastAsiaTheme="minorEastAsia" w:hAnsiTheme="minorHAnsi" w:cstheme="minorBidi"/>
            <w:color w:val="auto"/>
            <w:kern w:val="2"/>
            <w:sz w:val="24"/>
            <w:lang w:eastAsia="en-GB"/>
            <w14:ligatures w14:val="standardContextual"/>
          </w:rPr>
          <w:tab/>
        </w:r>
        <w:r w:rsidRPr="00796BF0">
          <w:rPr>
            <w:rStyle w:val="Hyperlink"/>
          </w:rPr>
          <w:t>NEXT STEPS</w:t>
        </w:r>
        <w:r>
          <w:rPr>
            <w:webHidden/>
          </w:rPr>
          <w:tab/>
        </w:r>
        <w:r>
          <w:rPr>
            <w:webHidden/>
          </w:rPr>
          <w:fldChar w:fldCharType="begin"/>
        </w:r>
        <w:r>
          <w:rPr>
            <w:webHidden/>
          </w:rPr>
          <w:instrText xml:space="preserve"> PAGEREF _Toc164757285 \h </w:instrText>
        </w:r>
        <w:r>
          <w:rPr>
            <w:webHidden/>
          </w:rPr>
        </w:r>
        <w:r>
          <w:rPr>
            <w:webHidden/>
          </w:rPr>
          <w:fldChar w:fldCharType="separate"/>
        </w:r>
        <w:r w:rsidR="00DB65B3">
          <w:rPr>
            <w:webHidden/>
          </w:rPr>
          <w:t>16</w:t>
        </w:r>
        <w:r>
          <w:rPr>
            <w:webHidden/>
          </w:rPr>
          <w:fldChar w:fldCharType="end"/>
        </w:r>
      </w:hyperlink>
    </w:p>
    <w:p w14:paraId="7E7DFEF4" w14:textId="1398683F" w:rsidR="00C405BA" w:rsidRDefault="00C405BA" w:rsidP="00C405BA">
      <w:pPr>
        <w:pStyle w:val="TOC1"/>
        <w:ind w:left="426"/>
        <w:rPr>
          <w:rFonts w:asciiTheme="minorHAnsi" w:eastAsiaTheme="minorEastAsia" w:hAnsiTheme="minorHAnsi" w:cstheme="minorBidi"/>
          <w:color w:val="auto"/>
          <w:kern w:val="2"/>
          <w:sz w:val="24"/>
          <w:lang w:eastAsia="en-GB"/>
          <w14:ligatures w14:val="standardContextual"/>
        </w:rPr>
      </w:pPr>
      <w:hyperlink w:anchor="_Toc164757286" w:history="1">
        <w:r w:rsidRPr="00796BF0">
          <w:rPr>
            <w:rStyle w:val="Hyperlink"/>
          </w:rPr>
          <w:t>Delivering and embedding the plan</w:t>
        </w:r>
        <w:r>
          <w:rPr>
            <w:webHidden/>
          </w:rPr>
          <w:tab/>
        </w:r>
        <w:r>
          <w:rPr>
            <w:webHidden/>
          </w:rPr>
          <w:fldChar w:fldCharType="begin"/>
        </w:r>
        <w:r>
          <w:rPr>
            <w:webHidden/>
          </w:rPr>
          <w:instrText xml:space="preserve"> PAGEREF _Toc164757286 \h </w:instrText>
        </w:r>
        <w:r>
          <w:rPr>
            <w:webHidden/>
          </w:rPr>
        </w:r>
        <w:r>
          <w:rPr>
            <w:webHidden/>
          </w:rPr>
          <w:fldChar w:fldCharType="separate"/>
        </w:r>
        <w:r w:rsidR="00DB65B3">
          <w:rPr>
            <w:webHidden/>
          </w:rPr>
          <w:t>16</w:t>
        </w:r>
        <w:r>
          <w:rPr>
            <w:webHidden/>
          </w:rPr>
          <w:fldChar w:fldCharType="end"/>
        </w:r>
      </w:hyperlink>
    </w:p>
    <w:p w14:paraId="42AAD040" w14:textId="593BCD2E" w:rsidR="00C405BA" w:rsidRDefault="00C405BA" w:rsidP="00C405BA">
      <w:pPr>
        <w:pStyle w:val="TOC1"/>
        <w:ind w:left="426"/>
        <w:rPr>
          <w:rFonts w:asciiTheme="minorHAnsi" w:eastAsiaTheme="minorEastAsia" w:hAnsiTheme="minorHAnsi" w:cstheme="minorBidi"/>
          <w:color w:val="auto"/>
          <w:kern w:val="2"/>
          <w:sz w:val="24"/>
          <w:lang w:eastAsia="en-GB"/>
          <w14:ligatures w14:val="standardContextual"/>
        </w:rPr>
      </w:pPr>
      <w:hyperlink w:anchor="_Toc164757287" w:history="1">
        <w:r w:rsidRPr="00796BF0">
          <w:rPr>
            <w:rStyle w:val="Hyperlink"/>
          </w:rPr>
          <w:t>The role of the Integrated Care System (ICS)</w:t>
        </w:r>
        <w:r>
          <w:rPr>
            <w:webHidden/>
          </w:rPr>
          <w:tab/>
        </w:r>
        <w:r>
          <w:rPr>
            <w:webHidden/>
          </w:rPr>
          <w:fldChar w:fldCharType="begin"/>
        </w:r>
        <w:r>
          <w:rPr>
            <w:webHidden/>
          </w:rPr>
          <w:instrText xml:space="preserve"> PAGEREF _Toc164757287 \h </w:instrText>
        </w:r>
        <w:r>
          <w:rPr>
            <w:webHidden/>
          </w:rPr>
        </w:r>
        <w:r>
          <w:rPr>
            <w:webHidden/>
          </w:rPr>
          <w:fldChar w:fldCharType="separate"/>
        </w:r>
        <w:r w:rsidR="00DB65B3">
          <w:rPr>
            <w:webHidden/>
          </w:rPr>
          <w:t>16</w:t>
        </w:r>
        <w:r>
          <w:rPr>
            <w:webHidden/>
          </w:rPr>
          <w:fldChar w:fldCharType="end"/>
        </w:r>
      </w:hyperlink>
    </w:p>
    <w:p w14:paraId="2E03F999" w14:textId="1EDE69F3" w:rsidR="00C405BA" w:rsidRDefault="00C405BA" w:rsidP="00C405BA">
      <w:pPr>
        <w:pStyle w:val="TOC1"/>
        <w:ind w:left="426"/>
        <w:rPr>
          <w:rFonts w:asciiTheme="minorHAnsi" w:eastAsiaTheme="minorEastAsia" w:hAnsiTheme="minorHAnsi" w:cstheme="minorBidi"/>
          <w:color w:val="auto"/>
          <w:kern w:val="2"/>
          <w:sz w:val="24"/>
          <w:lang w:eastAsia="en-GB"/>
          <w14:ligatures w14:val="standardContextual"/>
        </w:rPr>
      </w:pPr>
      <w:hyperlink w:anchor="_Toc164757288" w:history="1">
        <w:r w:rsidRPr="00796BF0">
          <w:rPr>
            <w:rStyle w:val="Hyperlink"/>
          </w:rPr>
          <w:t>Agile approach to long-term planning</w:t>
        </w:r>
        <w:r>
          <w:rPr>
            <w:webHidden/>
          </w:rPr>
          <w:tab/>
        </w:r>
        <w:r>
          <w:rPr>
            <w:webHidden/>
          </w:rPr>
          <w:fldChar w:fldCharType="begin"/>
        </w:r>
        <w:r>
          <w:rPr>
            <w:webHidden/>
          </w:rPr>
          <w:instrText xml:space="preserve"> PAGEREF _Toc164757288 \h </w:instrText>
        </w:r>
        <w:r>
          <w:rPr>
            <w:webHidden/>
          </w:rPr>
        </w:r>
        <w:r>
          <w:rPr>
            <w:webHidden/>
          </w:rPr>
          <w:fldChar w:fldCharType="separate"/>
        </w:r>
        <w:r w:rsidR="00DB65B3">
          <w:rPr>
            <w:webHidden/>
          </w:rPr>
          <w:t>16</w:t>
        </w:r>
        <w:r>
          <w:rPr>
            <w:webHidden/>
          </w:rPr>
          <w:fldChar w:fldCharType="end"/>
        </w:r>
      </w:hyperlink>
    </w:p>
    <w:p w14:paraId="698B2DF5" w14:textId="7EEF4E28" w:rsidR="00C405BA" w:rsidRDefault="00C405BA">
      <w:pPr>
        <w:pStyle w:val="TOC1"/>
        <w:tabs>
          <w:tab w:val="left" w:pos="720"/>
        </w:tabs>
        <w:rPr>
          <w:rFonts w:asciiTheme="minorHAnsi" w:eastAsiaTheme="minorEastAsia" w:hAnsiTheme="minorHAnsi" w:cstheme="minorBidi"/>
          <w:color w:val="auto"/>
          <w:kern w:val="2"/>
          <w:sz w:val="24"/>
          <w:lang w:eastAsia="en-GB"/>
          <w14:ligatures w14:val="standardContextual"/>
        </w:rPr>
      </w:pPr>
      <w:hyperlink w:anchor="_Toc164757289" w:history="1">
        <w:r w:rsidRPr="00796BF0">
          <w:rPr>
            <w:rStyle w:val="Hyperlink"/>
          </w:rPr>
          <w:t>7.</w:t>
        </w:r>
        <w:r>
          <w:rPr>
            <w:rFonts w:asciiTheme="minorHAnsi" w:eastAsiaTheme="minorEastAsia" w:hAnsiTheme="minorHAnsi" w:cstheme="minorBidi"/>
            <w:color w:val="auto"/>
            <w:kern w:val="2"/>
            <w:sz w:val="24"/>
            <w:lang w:eastAsia="en-GB"/>
            <w14:ligatures w14:val="standardContextual"/>
          </w:rPr>
          <w:tab/>
        </w:r>
        <w:r w:rsidRPr="00796BF0">
          <w:rPr>
            <w:rStyle w:val="Hyperlink"/>
          </w:rPr>
          <w:t>RECOMMENDATIONS</w:t>
        </w:r>
        <w:r>
          <w:rPr>
            <w:webHidden/>
          </w:rPr>
          <w:tab/>
        </w:r>
        <w:r>
          <w:rPr>
            <w:webHidden/>
          </w:rPr>
          <w:fldChar w:fldCharType="begin"/>
        </w:r>
        <w:r>
          <w:rPr>
            <w:webHidden/>
          </w:rPr>
          <w:instrText xml:space="preserve"> PAGEREF _Toc164757289 \h </w:instrText>
        </w:r>
        <w:r>
          <w:rPr>
            <w:webHidden/>
          </w:rPr>
        </w:r>
        <w:r>
          <w:rPr>
            <w:webHidden/>
          </w:rPr>
          <w:fldChar w:fldCharType="separate"/>
        </w:r>
        <w:r w:rsidR="00DB65B3">
          <w:rPr>
            <w:webHidden/>
          </w:rPr>
          <w:t>16</w:t>
        </w:r>
        <w:r>
          <w:rPr>
            <w:webHidden/>
          </w:rPr>
          <w:fldChar w:fldCharType="end"/>
        </w:r>
      </w:hyperlink>
    </w:p>
    <w:p w14:paraId="1B6F05DE" w14:textId="2F110931" w:rsidR="00C405BA" w:rsidRDefault="00C405BA" w:rsidP="00C405BA">
      <w:pPr>
        <w:pStyle w:val="TOC1"/>
        <w:ind w:left="426"/>
        <w:rPr>
          <w:rFonts w:asciiTheme="minorHAnsi" w:eastAsiaTheme="minorEastAsia" w:hAnsiTheme="minorHAnsi" w:cstheme="minorBidi"/>
          <w:color w:val="auto"/>
          <w:kern w:val="2"/>
          <w:sz w:val="24"/>
          <w:lang w:eastAsia="en-GB"/>
          <w14:ligatures w14:val="standardContextual"/>
        </w:rPr>
      </w:pPr>
      <w:hyperlink w:anchor="_Toc164757290" w:history="1">
        <w:r w:rsidRPr="00796BF0">
          <w:rPr>
            <w:rStyle w:val="Hyperlink"/>
          </w:rPr>
          <w:t>Train – Growing the workforce</w:t>
        </w:r>
        <w:r>
          <w:rPr>
            <w:webHidden/>
          </w:rPr>
          <w:tab/>
        </w:r>
        <w:r>
          <w:rPr>
            <w:webHidden/>
          </w:rPr>
          <w:fldChar w:fldCharType="begin"/>
        </w:r>
        <w:r>
          <w:rPr>
            <w:webHidden/>
          </w:rPr>
          <w:instrText xml:space="preserve"> PAGEREF _Toc164757290 \h </w:instrText>
        </w:r>
        <w:r>
          <w:rPr>
            <w:webHidden/>
          </w:rPr>
        </w:r>
        <w:r>
          <w:rPr>
            <w:webHidden/>
          </w:rPr>
          <w:fldChar w:fldCharType="separate"/>
        </w:r>
        <w:r w:rsidR="00DB65B3">
          <w:rPr>
            <w:webHidden/>
          </w:rPr>
          <w:t>16</w:t>
        </w:r>
        <w:r>
          <w:rPr>
            <w:webHidden/>
          </w:rPr>
          <w:fldChar w:fldCharType="end"/>
        </w:r>
      </w:hyperlink>
    </w:p>
    <w:p w14:paraId="0D40E4C7" w14:textId="257EAE1A" w:rsidR="00C405BA" w:rsidRDefault="00C405BA" w:rsidP="00C405BA">
      <w:pPr>
        <w:pStyle w:val="TOC1"/>
        <w:ind w:left="426"/>
        <w:rPr>
          <w:rFonts w:asciiTheme="minorHAnsi" w:eastAsiaTheme="minorEastAsia" w:hAnsiTheme="minorHAnsi" w:cstheme="minorBidi"/>
          <w:color w:val="auto"/>
          <w:kern w:val="2"/>
          <w:sz w:val="24"/>
          <w:lang w:eastAsia="en-GB"/>
          <w14:ligatures w14:val="standardContextual"/>
        </w:rPr>
      </w:pPr>
      <w:hyperlink w:anchor="_Toc164757291" w:history="1">
        <w:r w:rsidRPr="00796BF0">
          <w:rPr>
            <w:rStyle w:val="Hyperlink"/>
          </w:rPr>
          <w:t>Retain – Embedding the right culture and improving retention</w:t>
        </w:r>
        <w:r>
          <w:rPr>
            <w:webHidden/>
          </w:rPr>
          <w:tab/>
        </w:r>
        <w:r>
          <w:rPr>
            <w:webHidden/>
          </w:rPr>
          <w:fldChar w:fldCharType="begin"/>
        </w:r>
        <w:r>
          <w:rPr>
            <w:webHidden/>
          </w:rPr>
          <w:instrText xml:space="preserve"> PAGEREF _Toc164757291 \h </w:instrText>
        </w:r>
        <w:r>
          <w:rPr>
            <w:webHidden/>
          </w:rPr>
        </w:r>
        <w:r>
          <w:rPr>
            <w:webHidden/>
          </w:rPr>
          <w:fldChar w:fldCharType="separate"/>
        </w:r>
        <w:r w:rsidR="00DB65B3">
          <w:rPr>
            <w:webHidden/>
          </w:rPr>
          <w:t>17</w:t>
        </w:r>
        <w:r>
          <w:rPr>
            <w:webHidden/>
          </w:rPr>
          <w:fldChar w:fldCharType="end"/>
        </w:r>
      </w:hyperlink>
    </w:p>
    <w:p w14:paraId="0D955294" w14:textId="5148FB79" w:rsidR="00C405BA" w:rsidRDefault="00C405BA" w:rsidP="00C405BA">
      <w:pPr>
        <w:pStyle w:val="TOC1"/>
        <w:ind w:left="426"/>
        <w:rPr>
          <w:rFonts w:asciiTheme="minorHAnsi" w:eastAsiaTheme="minorEastAsia" w:hAnsiTheme="minorHAnsi" w:cstheme="minorBidi"/>
          <w:color w:val="auto"/>
          <w:kern w:val="2"/>
          <w:sz w:val="24"/>
          <w:lang w:eastAsia="en-GB"/>
          <w14:ligatures w14:val="standardContextual"/>
        </w:rPr>
      </w:pPr>
      <w:hyperlink w:anchor="_Toc164757292" w:history="1">
        <w:r w:rsidRPr="00796BF0">
          <w:rPr>
            <w:rStyle w:val="Hyperlink"/>
          </w:rPr>
          <w:t>Reform – Working and training differently</w:t>
        </w:r>
        <w:r>
          <w:rPr>
            <w:webHidden/>
          </w:rPr>
          <w:tab/>
        </w:r>
        <w:r>
          <w:rPr>
            <w:webHidden/>
          </w:rPr>
          <w:fldChar w:fldCharType="begin"/>
        </w:r>
        <w:r>
          <w:rPr>
            <w:webHidden/>
          </w:rPr>
          <w:instrText xml:space="preserve"> PAGEREF _Toc164757292 \h </w:instrText>
        </w:r>
        <w:r>
          <w:rPr>
            <w:webHidden/>
          </w:rPr>
        </w:r>
        <w:r>
          <w:rPr>
            <w:webHidden/>
          </w:rPr>
          <w:fldChar w:fldCharType="separate"/>
        </w:r>
        <w:r w:rsidR="00DB65B3">
          <w:rPr>
            <w:webHidden/>
          </w:rPr>
          <w:t>17</w:t>
        </w:r>
        <w:r>
          <w:rPr>
            <w:webHidden/>
          </w:rPr>
          <w:fldChar w:fldCharType="end"/>
        </w:r>
      </w:hyperlink>
    </w:p>
    <w:p w14:paraId="348DB8A8" w14:textId="517C86A4" w:rsidR="00C405BA" w:rsidRDefault="00C405BA">
      <w:pPr>
        <w:pStyle w:val="TOC1"/>
        <w:rPr>
          <w:rFonts w:asciiTheme="minorHAnsi" w:eastAsiaTheme="minorEastAsia" w:hAnsiTheme="minorHAnsi" w:cstheme="minorBidi"/>
          <w:color w:val="auto"/>
          <w:kern w:val="2"/>
          <w:sz w:val="24"/>
          <w:lang w:eastAsia="en-GB"/>
          <w14:ligatures w14:val="standardContextual"/>
        </w:rPr>
      </w:pPr>
      <w:hyperlink w:anchor="_Toc164757293" w:history="1">
        <w:r w:rsidRPr="00796BF0">
          <w:rPr>
            <w:rStyle w:val="Hyperlink"/>
          </w:rPr>
          <w:t>REFERENCES</w:t>
        </w:r>
        <w:r>
          <w:rPr>
            <w:webHidden/>
          </w:rPr>
          <w:tab/>
        </w:r>
        <w:r>
          <w:rPr>
            <w:webHidden/>
          </w:rPr>
          <w:fldChar w:fldCharType="begin"/>
        </w:r>
        <w:r>
          <w:rPr>
            <w:webHidden/>
          </w:rPr>
          <w:instrText xml:space="preserve"> PAGEREF _Toc164757293 \h </w:instrText>
        </w:r>
        <w:r>
          <w:rPr>
            <w:webHidden/>
          </w:rPr>
        </w:r>
        <w:r>
          <w:rPr>
            <w:webHidden/>
          </w:rPr>
          <w:fldChar w:fldCharType="separate"/>
        </w:r>
        <w:r w:rsidR="00DB65B3">
          <w:rPr>
            <w:webHidden/>
          </w:rPr>
          <w:t>18</w:t>
        </w:r>
        <w:r>
          <w:rPr>
            <w:webHidden/>
          </w:rPr>
          <w:fldChar w:fldCharType="end"/>
        </w:r>
      </w:hyperlink>
    </w:p>
    <w:p w14:paraId="3BF1C40C" w14:textId="7F5F26AD" w:rsidR="00C405BA" w:rsidRDefault="00C405BA">
      <w:pPr>
        <w:pStyle w:val="TOC1"/>
        <w:rPr>
          <w:rFonts w:asciiTheme="minorHAnsi" w:eastAsiaTheme="minorEastAsia" w:hAnsiTheme="minorHAnsi" w:cstheme="minorBidi"/>
          <w:color w:val="auto"/>
          <w:kern w:val="2"/>
          <w:sz w:val="24"/>
          <w:lang w:eastAsia="en-GB"/>
          <w14:ligatures w14:val="standardContextual"/>
        </w:rPr>
      </w:pPr>
      <w:hyperlink w:anchor="_Toc164757294" w:history="1">
        <w:r w:rsidRPr="00796BF0">
          <w:rPr>
            <w:rStyle w:val="Hyperlink"/>
            <w:lang w:eastAsia="en-GB"/>
          </w:rPr>
          <w:t>DOCUMENT MANAGEMENT</w:t>
        </w:r>
        <w:r>
          <w:rPr>
            <w:webHidden/>
          </w:rPr>
          <w:tab/>
        </w:r>
        <w:r>
          <w:rPr>
            <w:webHidden/>
          </w:rPr>
          <w:fldChar w:fldCharType="begin"/>
        </w:r>
        <w:r>
          <w:rPr>
            <w:webHidden/>
          </w:rPr>
          <w:instrText xml:space="preserve"> PAGEREF _Toc164757294 \h </w:instrText>
        </w:r>
        <w:r>
          <w:rPr>
            <w:webHidden/>
          </w:rPr>
        </w:r>
        <w:r>
          <w:rPr>
            <w:webHidden/>
          </w:rPr>
          <w:fldChar w:fldCharType="separate"/>
        </w:r>
        <w:r w:rsidR="00DB65B3">
          <w:rPr>
            <w:webHidden/>
          </w:rPr>
          <w:t>19</w:t>
        </w:r>
        <w:r>
          <w:rPr>
            <w:webHidden/>
          </w:rPr>
          <w:fldChar w:fldCharType="end"/>
        </w:r>
      </w:hyperlink>
    </w:p>
    <w:p w14:paraId="13D2C2DC" w14:textId="44FAD0FB" w:rsidR="00603A2C" w:rsidRPr="002F45CE" w:rsidRDefault="00355C51" w:rsidP="00447E51">
      <w:r>
        <w:rPr>
          <w:noProof/>
          <w:color w:val="231F20" w:themeColor="background1"/>
          <w:sz w:val="28"/>
        </w:rPr>
        <w:fldChar w:fldCharType="end"/>
      </w:r>
    </w:p>
    <w:p w14:paraId="180C2CFE" w14:textId="15C50915" w:rsidR="00BE3C57" w:rsidRPr="000733E2" w:rsidRDefault="00BE3C57" w:rsidP="00BE3C57">
      <w:pPr>
        <w:pStyle w:val="Heading2"/>
        <w:numPr>
          <w:ilvl w:val="0"/>
          <w:numId w:val="11"/>
        </w:numPr>
        <w:ind w:left="284"/>
      </w:pPr>
      <w:bookmarkStart w:id="1" w:name="_Toc149038769"/>
      <w:bookmarkStart w:id="2" w:name="_Toc164757275"/>
      <w:r>
        <w:lastRenderedPageBreak/>
        <w:t>EXECUTIVE SUMMARY</w:t>
      </w:r>
      <w:bookmarkEnd w:id="1"/>
      <w:bookmarkEnd w:id="2"/>
    </w:p>
    <w:p w14:paraId="2626C18D" w14:textId="1D127C02" w:rsidR="00BE3C57" w:rsidRPr="00BE3C57" w:rsidRDefault="00BE3C57" w:rsidP="00BE3C57">
      <w:pPr>
        <w:rPr>
          <w:rFonts w:asciiTheme="minorHAnsi" w:hAnsiTheme="minorHAnsi" w:cstheme="minorHAnsi"/>
          <w:bCs/>
          <w:kern w:val="28"/>
          <w:sz w:val="28"/>
          <w:szCs w:val="28"/>
          <w:lang w:val="en-US"/>
          <w14:ligatures w14:val="standardContextual"/>
        </w:rPr>
      </w:pPr>
      <w:r w:rsidRPr="00BE3C57">
        <w:rPr>
          <w:rFonts w:asciiTheme="minorHAnsi" w:hAnsiTheme="minorHAnsi" w:cstheme="minorHAnsi"/>
          <w:bCs/>
          <w:kern w:val="28"/>
          <w:sz w:val="28"/>
          <w:szCs w:val="28"/>
          <w:lang w:val="en-US"/>
          <w14:ligatures w14:val="standardContextual"/>
        </w:rPr>
        <w:t xml:space="preserve">Pharmacy Technicians work with patients to improve medicines </w:t>
      </w:r>
      <w:proofErr w:type="spellStart"/>
      <w:r w:rsidRPr="00BE3C57">
        <w:rPr>
          <w:rFonts w:asciiTheme="minorHAnsi" w:hAnsiTheme="minorHAnsi" w:cstheme="minorHAnsi"/>
          <w:bCs/>
          <w:kern w:val="28"/>
          <w:sz w:val="28"/>
          <w:szCs w:val="28"/>
          <w:lang w:val="en-US"/>
          <w14:ligatures w14:val="standardContextual"/>
        </w:rPr>
        <w:t>optimisation</w:t>
      </w:r>
      <w:proofErr w:type="spellEnd"/>
      <w:r w:rsidRPr="00BE3C57">
        <w:rPr>
          <w:rFonts w:asciiTheme="minorHAnsi" w:hAnsiTheme="minorHAnsi" w:cstheme="minorHAnsi"/>
          <w:bCs/>
          <w:kern w:val="28"/>
          <w:sz w:val="28"/>
          <w:szCs w:val="28"/>
          <w:lang w:val="en-US"/>
          <w14:ligatures w14:val="standardContextual"/>
        </w:rPr>
        <w:t xml:space="preserve"> and promote health and wellbeing. They practice in a wide range of settings across the health service and </w:t>
      </w:r>
      <w:proofErr w:type="spellStart"/>
      <w:r w:rsidRPr="00BE3C57">
        <w:rPr>
          <w:rFonts w:asciiTheme="minorHAnsi" w:hAnsiTheme="minorHAnsi" w:cstheme="minorHAnsi"/>
          <w:bCs/>
          <w:kern w:val="28"/>
          <w:sz w:val="28"/>
          <w:szCs w:val="28"/>
          <w:lang w:val="en-US"/>
          <w14:ligatures w14:val="standardContextual"/>
        </w:rPr>
        <w:t>specialise</w:t>
      </w:r>
      <w:proofErr w:type="spellEnd"/>
      <w:r w:rsidRPr="00BE3C57">
        <w:rPr>
          <w:rFonts w:asciiTheme="minorHAnsi" w:hAnsiTheme="minorHAnsi" w:cstheme="minorHAnsi"/>
          <w:bCs/>
          <w:kern w:val="28"/>
          <w:sz w:val="28"/>
          <w:szCs w:val="28"/>
          <w:lang w:val="en-US"/>
          <w14:ligatures w14:val="standardContextual"/>
        </w:rPr>
        <w:t xml:space="preserve"> in supporting people to get the best </w:t>
      </w:r>
      <w:permStart w:id="642862025" w:edGrp="everyone"/>
      <w:permEnd w:id="642862025"/>
      <w:r w:rsidRPr="00BE3C57">
        <w:rPr>
          <w:rFonts w:asciiTheme="minorHAnsi" w:hAnsiTheme="minorHAnsi" w:cstheme="minorHAnsi"/>
          <w:bCs/>
          <w:kern w:val="28"/>
          <w:sz w:val="28"/>
          <w:szCs w:val="28"/>
          <w:lang w:val="en-US"/>
          <w14:ligatures w14:val="standardContextual"/>
        </w:rPr>
        <w:t>from investment in, and use of, medicines. Their work covers areas where medicines are selected, procured, delivered, prescribed, administered and reviewed, and increasingly in clinical settings where medicines are supplied or administered. Initial Education and Training (IET) supports pharmacy technicians to work in community pharmacy, general practice, hospitals, health and justice settings, mental health and community health services.</w:t>
      </w:r>
    </w:p>
    <w:p w14:paraId="6D20B584" w14:textId="64D3B0E2" w:rsidR="00BE3C57" w:rsidRPr="00BE3C57" w:rsidRDefault="4098B592" w:rsidP="00BE3C57">
      <w:pPr>
        <w:pStyle w:val="Standfirst"/>
      </w:pPr>
      <w:r>
        <w:t>As practice evolves, the WT&amp;E directorate Pharmacy Technician Workforce Development</w:t>
      </w:r>
      <w:r w:rsidRPr="00237A76">
        <w:t xml:space="preserve"> </w:t>
      </w:r>
      <w:r w:rsidR="4D500076" w:rsidRPr="00237A76">
        <w:t xml:space="preserve">Programme </w:t>
      </w:r>
      <w:r>
        <w:t>is required to enable the delivery of the NHS England Long Term Workforce Plan (LTWP)</w:t>
      </w:r>
      <w:r w:rsidRPr="00AEC026">
        <w:rPr>
          <w:vertAlign w:val="superscript"/>
        </w:rPr>
        <w:t>1</w:t>
      </w:r>
      <w:r>
        <w:t xml:space="preserve"> recommendations. It will also support delivery of public health initiatives by focusing on workforce development that aligns with local population health needs.</w:t>
      </w:r>
    </w:p>
    <w:p w14:paraId="35247F38" w14:textId="77777777" w:rsidR="00BE3C57" w:rsidRPr="002D29F3" w:rsidRDefault="00BE3C57" w:rsidP="00BE3C57">
      <w:pPr>
        <w:pStyle w:val="h2numbered"/>
        <w:numPr>
          <w:ilvl w:val="0"/>
          <w:numId w:val="0"/>
        </w:numPr>
      </w:pPr>
      <w:bookmarkStart w:id="3" w:name="_Toc164757276"/>
      <w:r w:rsidRPr="002D29F3">
        <w:t>The vision</w:t>
      </w:r>
      <w:bookmarkEnd w:id="3"/>
    </w:p>
    <w:p w14:paraId="54314B4E" w14:textId="77777777" w:rsidR="00BE3C57" w:rsidRPr="00BE3C57" w:rsidRDefault="00BE3C57" w:rsidP="00BE3C57">
      <w:pPr>
        <w:pStyle w:val="Standfirst"/>
      </w:pPr>
      <w:r w:rsidRPr="00BE3C57">
        <w:t>To develop pharmacy technicians to practice autonomously as competent and confident healthcare professionals, within a defined scope of practice, working across all sectors of healthcare, to ensure medicines safety and optimisation.</w:t>
      </w:r>
    </w:p>
    <w:p w14:paraId="0A19C5B5" w14:textId="77777777" w:rsidR="00BE3C57" w:rsidRPr="002D29F3" w:rsidRDefault="00BE3C57" w:rsidP="00BE3C57">
      <w:pPr>
        <w:pStyle w:val="h2numbered"/>
        <w:numPr>
          <w:ilvl w:val="0"/>
          <w:numId w:val="0"/>
        </w:numPr>
      </w:pPr>
      <w:bookmarkStart w:id="4" w:name="_Toc164757277"/>
      <w:r w:rsidRPr="002D29F3">
        <w:t>The case for change</w:t>
      </w:r>
      <w:bookmarkEnd w:id="4"/>
    </w:p>
    <w:p w14:paraId="19C25E51" w14:textId="77777777" w:rsidR="00BE3C57" w:rsidRPr="00BE3C57" w:rsidRDefault="00BE3C57" w:rsidP="00BE3C57">
      <w:pPr>
        <w:pStyle w:val="ListParagraph"/>
        <w:numPr>
          <w:ilvl w:val="0"/>
          <w:numId w:val="5"/>
        </w:numPr>
        <w:spacing w:after="280"/>
        <w:ind w:left="426"/>
        <w:rPr>
          <w:rFonts w:asciiTheme="minorHAnsi" w:hAnsiTheme="minorHAnsi" w:cstheme="minorHAnsi"/>
          <w:color w:val="231F20" w:themeColor="background1"/>
          <w:sz w:val="28"/>
          <w:szCs w:val="28"/>
          <w:lang w:val="en-US"/>
        </w:rPr>
      </w:pPr>
      <w:r w:rsidRPr="00BE3C57">
        <w:rPr>
          <w:rFonts w:asciiTheme="minorHAnsi" w:hAnsiTheme="minorHAnsi" w:cstheme="minorHAnsi"/>
          <w:color w:val="231F20" w:themeColor="background1"/>
          <w:sz w:val="28"/>
          <w:szCs w:val="28"/>
          <w:lang w:val="en-US"/>
        </w:rPr>
        <w:t>Pharmacy technicians are a relatively newly registered healthcare profession who are regulated by the General Pharmaceutical Council (</w:t>
      </w:r>
      <w:proofErr w:type="spellStart"/>
      <w:r w:rsidRPr="00BE3C57">
        <w:rPr>
          <w:rFonts w:asciiTheme="minorHAnsi" w:hAnsiTheme="minorHAnsi" w:cstheme="minorHAnsi"/>
          <w:color w:val="231F20" w:themeColor="background1"/>
          <w:sz w:val="28"/>
          <w:szCs w:val="28"/>
          <w:lang w:val="en-US"/>
        </w:rPr>
        <w:t>GPhC</w:t>
      </w:r>
      <w:proofErr w:type="spellEnd"/>
      <w:r w:rsidRPr="00BE3C57">
        <w:rPr>
          <w:rFonts w:asciiTheme="minorHAnsi" w:hAnsiTheme="minorHAnsi" w:cstheme="minorHAnsi"/>
          <w:color w:val="231F20" w:themeColor="background1"/>
          <w:sz w:val="28"/>
          <w:szCs w:val="28"/>
          <w:lang w:val="en-US"/>
        </w:rPr>
        <w:t>). Their knowledge, skills and expertise provide the basis for them to be able to deliver a wider range of clinical services, for which they are accountable.</w:t>
      </w:r>
    </w:p>
    <w:p w14:paraId="50A8FE51" w14:textId="77777777" w:rsidR="00BE3C57" w:rsidRPr="00BE3C57" w:rsidRDefault="00BE3C57" w:rsidP="00BE3C57">
      <w:pPr>
        <w:pStyle w:val="ListParagraph"/>
        <w:numPr>
          <w:ilvl w:val="0"/>
          <w:numId w:val="5"/>
        </w:numPr>
        <w:spacing w:after="280"/>
        <w:ind w:left="426"/>
        <w:rPr>
          <w:rFonts w:asciiTheme="minorHAnsi" w:hAnsiTheme="minorHAnsi" w:cstheme="minorHAnsi"/>
          <w:color w:val="231F20" w:themeColor="background1"/>
          <w:sz w:val="28"/>
          <w:szCs w:val="28"/>
          <w:lang w:val="en-US"/>
        </w:rPr>
      </w:pPr>
      <w:r w:rsidRPr="00BE3C57">
        <w:rPr>
          <w:rFonts w:asciiTheme="minorHAnsi" w:hAnsiTheme="minorHAnsi" w:cstheme="minorHAnsi"/>
          <w:color w:val="231F20" w:themeColor="background1"/>
          <w:sz w:val="28"/>
          <w:szCs w:val="28"/>
          <w:lang w:val="en-US"/>
        </w:rPr>
        <w:t xml:space="preserve">The demand for healthcare services is growing, exacerbated by the impact of the COVID-19 pandemic, and there are workforce challenges across all professions, so further skill mix </w:t>
      </w:r>
      <w:proofErr w:type="spellStart"/>
      <w:r w:rsidRPr="00BE3C57">
        <w:rPr>
          <w:rFonts w:asciiTheme="minorHAnsi" w:hAnsiTheme="minorHAnsi" w:cstheme="minorHAnsi"/>
          <w:color w:val="231F20" w:themeColor="background1"/>
          <w:sz w:val="28"/>
          <w:szCs w:val="28"/>
          <w:lang w:val="en-US"/>
        </w:rPr>
        <w:t>optimisation</w:t>
      </w:r>
      <w:proofErr w:type="spellEnd"/>
      <w:r w:rsidRPr="00BE3C57">
        <w:rPr>
          <w:rFonts w:asciiTheme="minorHAnsi" w:hAnsiTheme="minorHAnsi" w:cstheme="minorHAnsi"/>
          <w:color w:val="231F20" w:themeColor="background1"/>
          <w:sz w:val="28"/>
          <w:szCs w:val="28"/>
          <w:lang w:val="en-US"/>
        </w:rPr>
        <w:t xml:space="preserve"> is required. As pharmacists become independent prescribers at the point of registration, pharmacy technicians will need to undertake new roles and </w:t>
      </w:r>
      <w:proofErr w:type="spellStart"/>
      <w:r w:rsidRPr="00BE3C57">
        <w:rPr>
          <w:rFonts w:asciiTheme="minorHAnsi" w:hAnsiTheme="minorHAnsi" w:cstheme="minorHAnsi"/>
          <w:color w:val="231F20" w:themeColor="background1"/>
          <w:sz w:val="28"/>
          <w:szCs w:val="28"/>
          <w:lang w:val="en-US"/>
        </w:rPr>
        <w:t>modernise</w:t>
      </w:r>
      <w:proofErr w:type="spellEnd"/>
      <w:r w:rsidRPr="00BE3C57">
        <w:rPr>
          <w:rFonts w:asciiTheme="minorHAnsi" w:hAnsiTheme="minorHAnsi" w:cstheme="minorHAnsi"/>
          <w:color w:val="231F20" w:themeColor="background1"/>
          <w:sz w:val="28"/>
          <w:szCs w:val="28"/>
          <w:lang w:val="en-US"/>
        </w:rPr>
        <w:t xml:space="preserve"> their careers too, to support the infrastructure required to enable healthcare reforms.</w:t>
      </w:r>
    </w:p>
    <w:p w14:paraId="7E313D28" w14:textId="77777777" w:rsidR="00BE3C57" w:rsidRPr="00BE3C57" w:rsidRDefault="00BE3C57" w:rsidP="00BE3C57">
      <w:pPr>
        <w:pStyle w:val="ListParagraph"/>
        <w:numPr>
          <w:ilvl w:val="0"/>
          <w:numId w:val="5"/>
        </w:numPr>
        <w:spacing w:after="280"/>
        <w:ind w:left="426"/>
        <w:rPr>
          <w:rFonts w:asciiTheme="minorHAnsi" w:hAnsiTheme="minorHAnsi" w:cstheme="minorHAnsi"/>
          <w:color w:val="231F20" w:themeColor="background1"/>
          <w:sz w:val="28"/>
          <w:szCs w:val="28"/>
          <w:lang w:val="en-US"/>
        </w:rPr>
      </w:pPr>
      <w:r w:rsidRPr="00BE3C57">
        <w:rPr>
          <w:rFonts w:asciiTheme="minorHAnsi" w:hAnsiTheme="minorHAnsi" w:cstheme="minorHAnsi"/>
          <w:color w:val="231F20" w:themeColor="background1"/>
          <w:sz w:val="28"/>
          <w:szCs w:val="28"/>
          <w:lang w:val="en-US"/>
        </w:rPr>
        <w:t xml:space="preserve">Pharmacy technicians undertake two years of focused initial education and training (IET) in clinical settings and can </w:t>
      </w:r>
      <w:r w:rsidRPr="00BE3C57">
        <w:rPr>
          <w:rFonts w:asciiTheme="minorHAnsi" w:hAnsiTheme="minorHAnsi" w:cstheme="minorHAnsi"/>
          <w:color w:val="231F20" w:themeColor="background1"/>
          <w:sz w:val="28"/>
          <w:szCs w:val="28"/>
        </w:rPr>
        <w:t xml:space="preserve">provide clinical services </w:t>
      </w:r>
      <w:r w:rsidRPr="00BE3C57">
        <w:rPr>
          <w:rFonts w:asciiTheme="minorHAnsi" w:hAnsiTheme="minorHAnsi" w:cstheme="minorHAnsi"/>
          <w:color w:val="231F20" w:themeColor="background1"/>
          <w:sz w:val="28"/>
          <w:szCs w:val="28"/>
        </w:rPr>
        <w:lastRenderedPageBreak/>
        <w:t>appropriate to their level of training, at the point of registration. This two-year training pathway</w:t>
      </w:r>
      <w:r w:rsidRPr="00BE3C57">
        <w:rPr>
          <w:rFonts w:asciiTheme="minorHAnsi" w:hAnsiTheme="minorHAnsi" w:cstheme="minorHAnsi"/>
          <w:color w:val="231F20" w:themeColor="background1"/>
          <w:sz w:val="28"/>
          <w:szCs w:val="28"/>
          <w:lang w:val="en-US"/>
        </w:rPr>
        <w:t xml:space="preserve"> is an opportunity to grow the number of healthcare professionals, to meet the healthcare needs of our population, relatively quickly. Post-registration pharmacy technicians can build on their IET by undertaking training and development to reach master’s level and provide further services dependent on the </w:t>
      </w:r>
      <w:r w:rsidRPr="00BE3C57">
        <w:rPr>
          <w:rFonts w:asciiTheme="minorHAnsi" w:hAnsiTheme="minorHAnsi" w:cstheme="minorHAnsi"/>
          <w:color w:val="231F20" w:themeColor="background1"/>
          <w:sz w:val="28"/>
          <w:szCs w:val="28"/>
        </w:rPr>
        <w:t>workforce needs of the future NHS.</w:t>
      </w:r>
      <w:r w:rsidRPr="00BE3C57">
        <w:rPr>
          <w:rFonts w:asciiTheme="minorHAnsi" w:hAnsiTheme="minorHAnsi" w:cstheme="minorHAnsi"/>
          <w:color w:val="231F20" w:themeColor="background1"/>
          <w:sz w:val="28"/>
          <w:szCs w:val="28"/>
          <w:lang w:val="en-US"/>
        </w:rPr>
        <w:t xml:space="preserve"> </w:t>
      </w:r>
    </w:p>
    <w:p w14:paraId="420413E1" w14:textId="77777777" w:rsidR="00BE3C57" w:rsidRPr="00BE3C57" w:rsidRDefault="00BE3C57" w:rsidP="00BE3C57">
      <w:pPr>
        <w:pStyle w:val="ListParagraph"/>
        <w:numPr>
          <w:ilvl w:val="0"/>
          <w:numId w:val="5"/>
        </w:numPr>
        <w:spacing w:after="280"/>
        <w:ind w:left="426"/>
        <w:rPr>
          <w:rFonts w:asciiTheme="minorHAnsi" w:hAnsiTheme="minorHAnsi" w:cstheme="minorHAnsi"/>
          <w:color w:val="231F20" w:themeColor="background1"/>
          <w:sz w:val="28"/>
          <w:szCs w:val="28"/>
          <w:lang w:val="en-US"/>
        </w:rPr>
      </w:pPr>
      <w:r w:rsidRPr="00BE3C57">
        <w:rPr>
          <w:rFonts w:asciiTheme="minorHAnsi" w:hAnsiTheme="minorHAnsi" w:cstheme="minorHAnsi"/>
          <w:color w:val="231F20" w:themeColor="background1"/>
          <w:sz w:val="28"/>
          <w:szCs w:val="28"/>
          <w:lang w:val="en-US"/>
        </w:rPr>
        <w:t>Addressing population health needs requires more healthcare professionals to have generalist skills to meet the increasingly complex health needs that people have in their everyday lives. Pharmacy technicians are accessible practitioners who can support improved patient outcomes through service provision.</w:t>
      </w:r>
    </w:p>
    <w:p w14:paraId="317B6B64" w14:textId="77777777" w:rsidR="00BE3C57" w:rsidRPr="00BE3C57" w:rsidRDefault="00BE3C57" w:rsidP="00BE3C57">
      <w:pPr>
        <w:pStyle w:val="ListParagraph"/>
        <w:numPr>
          <w:ilvl w:val="0"/>
          <w:numId w:val="5"/>
        </w:numPr>
        <w:spacing w:after="280"/>
        <w:ind w:left="426"/>
        <w:rPr>
          <w:rFonts w:asciiTheme="minorHAnsi" w:hAnsiTheme="minorHAnsi" w:cstheme="minorHAnsi"/>
          <w:color w:val="231F20" w:themeColor="background1"/>
          <w:sz w:val="28"/>
          <w:szCs w:val="28"/>
          <w:lang w:val="en-US"/>
        </w:rPr>
      </w:pPr>
      <w:r w:rsidRPr="00BE3C57">
        <w:rPr>
          <w:rFonts w:asciiTheme="minorHAnsi" w:hAnsiTheme="minorHAnsi" w:cstheme="minorHAnsi"/>
          <w:color w:val="231F20" w:themeColor="background1"/>
          <w:sz w:val="28"/>
          <w:szCs w:val="28"/>
        </w:rPr>
        <w:t>Scaling of NHS care delivered in the community requires rapid workforce expansion and the development of more flexible, integrated teams. The Delivery Plan for Recovering Access to Primary Care</w:t>
      </w:r>
      <w:r w:rsidRPr="00BE3C57">
        <w:rPr>
          <w:rFonts w:asciiTheme="minorHAnsi" w:hAnsiTheme="minorHAnsi" w:cstheme="minorHAnsi"/>
          <w:color w:val="231F20" w:themeColor="background1"/>
          <w:sz w:val="28"/>
          <w:szCs w:val="28"/>
          <w:vertAlign w:val="superscript"/>
        </w:rPr>
        <w:t xml:space="preserve">2 </w:t>
      </w:r>
      <w:r w:rsidRPr="00BE3C57">
        <w:rPr>
          <w:rFonts w:asciiTheme="minorHAnsi" w:hAnsiTheme="minorHAnsi" w:cstheme="minorHAnsi"/>
          <w:color w:val="231F20" w:themeColor="background1"/>
          <w:sz w:val="28"/>
          <w:szCs w:val="28"/>
        </w:rPr>
        <w:t xml:space="preserve">specifically refers to expansion of community pharmacy services to free </w:t>
      </w:r>
      <w:r w:rsidRPr="00BE3C57">
        <w:rPr>
          <w:rFonts w:asciiTheme="minorHAnsi" w:hAnsiTheme="minorHAnsi" w:cstheme="minorHAnsi"/>
          <w:color w:val="231F20" w:themeColor="background1"/>
          <w:sz w:val="28"/>
          <w:szCs w:val="28"/>
          <w:lang w:val="en-US"/>
        </w:rPr>
        <w:t>up appointments in general practice, e.g., oral contraception and blood pressure services.</w:t>
      </w:r>
    </w:p>
    <w:p w14:paraId="66D3AE32" w14:textId="77777777" w:rsidR="00BE3C57" w:rsidRPr="00BE3C57" w:rsidRDefault="00BE3C57" w:rsidP="00BE3C57">
      <w:pPr>
        <w:pStyle w:val="ListParagraph"/>
        <w:numPr>
          <w:ilvl w:val="0"/>
          <w:numId w:val="5"/>
        </w:numPr>
        <w:spacing w:after="280"/>
        <w:ind w:left="426"/>
        <w:rPr>
          <w:rFonts w:asciiTheme="minorHAnsi" w:hAnsiTheme="minorHAnsi" w:cstheme="minorHAnsi"/>
          <w:color w:val="231F20" w:themeColor="background1"/>
          <w:sz w:val="28"/>
          <w:szCs w:val="28"/>
          <w:lang w:val="en-US"/>
        </w:rPr>
      </w:pPr>
      <w:r w:rsidRPr="00BE3C57">
        <w:rPr>
          <w:rFonts w:asciiTheme="minorHAnsi" w:hAnsiTheme="minorHAnsi" w:cstheme="minorHAnsi"/>
          <w:color w:val="231F20" w:themeColor="background1"/>
          <w:sz w:val="28"/>
          <w:szCs w:val="28"/>
          <w:lang w:val="en-US"/>
        </w:rPr>
        <w:t>Current legislative reviews encompass pharmacy technician practice. Any subsequent amendments to legislation are likely to drive change that will transform the pharmacy technician profession.</w:t>
      </w:r>
    </w:p>
    <w:p w14:paraId="61CEB052" w14:textId="6FF105E5" w:rsidR="00BE3C57" w:rsidRPr="00BE3C57" w:rsidRDefault="312FC4A7" w:rsidP="00AEC026">
      <w:pPr>
        <w:pStyle w:val="NoSpacing"/>
        <w:numPr>
          <w:ilvl w:val="0"/>
          <w:numId w:val="5"/>
        </w:numPr>
        <w:spacing w:after="280" w:line="360" w:lineRule="atLeast"/>
        <w:ind w:left="426"/>
        <w:rPr>
          <w:rFonts w:eastAsia="Times New Roman"/>
          <w:color w:val="231F20" w:themeColor="background1"/>
          <w:sz w:val="28"/>
          <w:szCs w:val="28"/>
          <w:lang w:val="en-US"/>
        </w:rPr>
      </w:pPr>
      <w:r w:rsidRPr="00AEC026">
        <w:rPr>
          <w:rFonts w:eastAsia="Times New Roman"/>
          <w:color w:val="231F20" w:themeColor="background1"/>
          <w:sz w:val="28"/>
          <w:szCs w:val="28"/>
          <w:lang w:val="en-US"/>
        </w:rPr>
        <w:t>Overall,</w:t>
      </w:r>
      <w:r w:rsidR="4098B592" w:rsidRPr="00AEC026">
        <w:rPr>
          <w:rFonts w:eastAsia="Times New Roman"/>
          <w:color w:val="231F20" w:themeColor="background1"/>
          <w:sz w:val="28"/>
          <w:szCs w:val="28"/>
          <w:lang w:val="en-US"/>
        </w:rPr>
        <w:t xml:space="preserve"> </w:t>
      </w:r>
      <w:r w:rsidR="1DD40088" w:rsidRPr="00AEC026">
        <w:rPr>
          <w:rFonts w:eastAsia="Times New Roman"/>
          <w:color w:val="231F20" w:themeColor="background1"/>
          <w:sz w:val="28"/>
          <w:szCs w:val="28"/>
          <w:lang w:val="en-US"/>
        </w:rPr>
        <w:t>the numbers</w:t>
      </w:r>
      <w:r w:rsidR="4098B592" w:rsidRPr="00AEC026">
        <w:rPr>
          <w:rFonts w:eastAsia="Times New Roman"/>
          <w:color w:val="231F20" w:themeColor="background1"/>
          <w:sz w:val="28"/>
          <w:szCs w:val="28"/>
          <w:lang w:val="en-US"/>
        </w:rPr>
        <w:t xml:space="preserve"> of pharmacy technicians have increased. However,</w:t>
      </w:r>
      <w:r w:rsidR="5C3EA47C" w:rsidRPr="00AEC026">
        <w:rPr>
          <w:rFonts w:eastAsia="Times New Roman"/>
          <w:color w:val="231F20" w:themeColor="background1"/>
          <w:sz w:val="28"/>
          <w:szCs w:val="28"/>
          <w:lang w:val="en-US"/>
        </w:rPr>
        <w:t xml:space="preserve"> according to the 2023 data,</w:t>
      </w:r>
      <w:r w:rsidR="4098B592" w:rsidRPr="00AEC026">
        <w:rPr>
          <w:rFonts w:eastAsia="Times New Roman"/>
          <w:color w:val="231F20" w:themeColor="background1"/>
          <w:sz w:val="28"/>
          <w:szCs w:val="28"/>
          <w:lang w:val="en-US"/>
        </w:rPr>
        <w:t xml:space="preserve"> there has been a decline of approximately 17% in Community Pharmacy, with approximately 0.55 pharmacy technicians per community pharmacy</w:t>
      </w:r>
      <w:r w:rsidR="4098B592" w:rsidRPr="00AEC026">
        <w:rPr>
          <w:rFonts w:eastAsia="Times New Roman"/>
          <w:color w:val="231F20" w:themeColor="background1"/>
          <w:sz w:val="28"/>
          <w:szCs w:val="28"/>
          <w:vertAlign w:val="superscript"/>
          <w:lang w:val="en-US"/>
        </w:rPr>
        <w:t>3</w:t>
      </w:r>
      <w:r w:rsidR="4098B592" w:rsidRPr="00AEC026">
        <w:rPr>
          <w:rFonts w:eastAsia="Times New Roman"/>
          <w:color w:val="231F20" w:themeColor="background1"/>
          <w:sz w:val="28"/>
          <w:szCs w:val="28"/>
          <w:lang w:val="en-US"/>
        </w:rPr>
        <w:t>. The ambition is to increase the number of training places (via apprenticeships) over the next five years.</w:t>
      </w:r>
    </w:p>
    <w:p w14:paraId="514F12CE" w14:textId="77777777" w:rsidR="00BE3C57" w:rsidRPr="00BE3C57" w:rsidRDefault="00BE3C57" w:rsidP="00BE3C57">
      <w:pPr>
        <w:pStyle w:val="ListParagraph"/>
        <w:numPr>
          <w:ilvl w:val="0"/>
          <w:numId w:val="5"/>
        </w:numPr>
        <w:spacing w:after="280"/>
        <w:ind w:left="426"/>
        <w:rPr>
          <w:rFonts w:asciiTheme="minorHAnsi" w:hAnsiTheme="minorHAnsi" w:cstheme="minorHAnsi"/>
          <w:color w:val="231F20" w:themeColor="background1"/>
          <w:sz w:val="28"/>
          <w:szCs w:val="28"/>
          <w:lang w:val="en-US"/>
        </w:rPr>
      </w:pPr>
      <w:r w:rsidRPr="00BE3C57">
        <w:rPr>
          <w:rFonts w:asciiTheme="minorHAnsi" w:hAnsiTheme="minorHAnsi" w:cstheme="minorHAnsi"/>
          <w:color w:val="231F20" w:themeColor="background1"/>
          <w:sz w:val="28"/>
          <w:szCs w:val="28"/>
          <w:lang w:val="en-US"/>
        </w:rPr>
        <w:t xml:space="preserve">Advancements in digital technology, automation, genomics and artificial intelligence will support capacity to deliver NHS services, in new and different ways. To </w:t>
      </w:r>
      <w:proofErr w:type="spellStart"/>
      <w:r w:rsidRPr="00BE3C57">
        <w:rPr>
          <w:rFonts w:asciiTheme="minorHAnsi" w:hAnsiTheme="minorHAnsi" w:cstheme="minorHAnsi"/>
          <w:color w:val="231F20" w:themeColor="background1"/>
          <w:sz w:val="28"/>
          <w:szCs w:val="28"/>
          <w:lang w:val="en-US"/>
        </w:rPr>
        <w:t>maximise</w:t>
      </w:r>
      <w:proofErr w:type="spellEnd"/>
      <w:r w:rsidRPr="00BE3C57">
        <w:rPr>
          <w:rFonts w:asciiTheme="minorHAnsi" w:hAnsiTheme="minorHAnsi" w:cstheme="minorHAnsi"/>
          <w:color w:val="231F20" w:themeColor="background1"/>
          <w:sz w:val="28"/>
          <w:szCs w:val="28"/>
          <w:lang w:val="en-US"/>
        </w:rPr>
        <w:t xml:space="preserve"> the potential benefits, our NHS People, which includes pharmacy technicians, will be required to develop their skills and become more digitally literate.</w:t>
      </w:r>
    </w:p>
    <w:p w14:paraId="1B81467D" w14:textId="015D20AC" w:rsidR="00BE3C57" w:rsidRPr="00BE3C57" w:rsidRDefault="00BE3C57" w:rsidP="00BE3C57">
      <w:pPr>
        <w:pStyle w:val="ListParagraph"/>
        <w:numPr>
          <w:ilvl w:val="0"/>
          <w:numId w:val="5"/>
        </w:numPr>
        <w:spacing w:after="280"/>
        <w:ind w:left="426" w:hanging="357"/>
        <w:rPr>
          <w:rFonts w:asciiTheme="minorHAnsi" w:hAnsiTheme="minorHAnsi" w:cstheme="minorHAnsi"/>
          <w:color w:val="231F20" w:themeColor="background1"/>
          <w:sz w:val="28"/>
          <w:szCs w:val="28"/>
          <w:lang w:val="en-US"/>
        </w:rPr>
      </w:pPr>
      <w:r w:rsidRPr="00BE3C57">
        <w:rPr>
          <w:rFonts w:asciiTheme="minorHAnsi" w:hAnsiTheme="minorHAnsi" w:cstheme="minorHAnsi"/>
          <w:color w:val="231F20" w:themeColor="background1"/>
          <w:sz w:val="28"/>
          <w:szCs w:val="28"/>
        </w:rPr>
        <w:t>Workforce Race Equality Standard (WRES) data</w:t>
      </w:r>
      <w:r w:rsidRPr="00BE3C57">
        <w:rPr>
          <w:rFonts w:asciiTheme="minorHAnsi" w:hAnsiTheme="minorHAnsi" w:cstheme="minorHAnsi"/>
          <w:color w:val="231F20" w:themeColor="background1"/>
          <w:sz w:val="28"/>
          <w:szCs w:val="28"/>
          <w:vertAlign w:val="superscript"/>
        </w:rPr>
        <w:t>4</w:t>
      </w:r>
      <w:r w:rsidRPr="00BE3C57">
        <w:rPr>
          <w:rFonts w:asciiTheme="minorHAnsi" w:hAnsiTheme="minorHAnsi" w:cstheme="minorHAnsi"/>
          <w:color w:val="231F20" w:themeColor="background1"/>
          <w:sz w:val="28"/>
          <w:szCs w:val="28"/>
        </w:rPr>
        <w:t xml:space="preserve"> shows that staff from an ethnic minority background have a poorer experience of NHS recruitment processes than their white colleagues. This is also the case for staff with disabilities, as shown in the Workforce </w:t>
      </w:r>
      <w:r w:rsidRPr="00BE3C57">
        <w:rPr>
          <w:rFonts w:asciiTheme="minorHAnsi" w:hAnsiTheme="minorHAnsi" w:cstheme="minorHAnsi"/>
          <w:color w:val="231F20" w:themeColor="background1"/>
          <w:sz w:val="28"/>
          <w:szCs w:val="28"/>
          <w:lang w:val="en-US"/>
        </w:rPr>
        <w:t>Disability Equality Standard (WDES) data</w:t>
      </w:r>
      <w:r w:rsidRPr="00BE3C57">
        <w:rPr>
          <w:rFonts w:asciiTheme="minorHAnsi" w:hAnsiTheme="minorHAnsi" w:cstheme="minorHAnsi"/>
          <w:color w:val="231F20" w:themeColor="background1"/>
          <w:sz w:val="28"/>
          <w:szCs w:val="28"/>
          <w:vertAlign w:val="superscript"/>
          <w:lang w:val="en-US"/>
        </w:rPr>
        <w:t>5</w:t>
      </w:r>
      <w:r w:rsidRPr="00BE3C57">
        <w:rPr>
          <w:rFonts w:asciiTheme="minorHAnsi" w:hAnsiTheme="minorHAnsi" w:cstheme="minorHAnsi"/>
          <w:color w:val="231F20" w:themeColor="background1"/>
          <w:sz w:val="28"/>
          <w:szCs w:val="28"/>
          <w:lang w:val="en-US"/>
        </w:rPr>
        <w:t xml:space="preserve">. To recruit and retain pharmacy technicians, equality, diversity and </w:t>
      </w:r>
      <w:r w:rsidRPr="00BE3C57">
        <w:rPr>
          <w:rFonts w:asciiTheme="minorHAnsi" w:hAnsiTheme="minorHAnsi" w:cstheme="minorHAnsi"/>
          <w:color w:val="231F20" w:themeColor="background1"/>
          <w:sz w:val="28"/>
          <w:szCs w:val="28"/>
          <w:lang w:val="en-US"/>
        </w:rPr>
        <w:lastRenderedPageBreak/>
        <w:t>inclusion work must be embedded into workforce development and transformation initiatives.</w:t>
      </w:r>
    </w:p>
    <w:p w14:paraId="4979F384" w14:textId="16CFA0FA" w:rsidR="00BE3C57" w:rsidRPr="002D29F3" w:rsidRDefault="00BE3C57" w:rsidP="00BE3C57">
      <w:pPr>
        <w:pStyle w:val="Heading2"/>
      </w:pPr>
      <w:bookmarkStart w:id="5" w:name="_Toc164757278"/>
      <w:r w:rsidRPr="002D29F3">
        <w:t>Sustaining the workforce, now and in the future</w:t>
      </w:r>
      <w:bookmarkEnd w:id="5"/>
    </w:p>
    <w:p w14:paraId="667FDB14" w14:textId="77777777" w:rsidR="00BE3C57" w:rsidRPr="00BE3C57" w:rsidRDefault="00BE3C57" w:rsidP="00BE3C57">
      <w:pPr>
        <w:rPr>
          <w:rFonts w:asciiTheme="minorHAnsi" w:hAnsiTheme="minorHAnsi" w:cstheme="minorHAnsi"/>
          <w:sz w:val="28"/>
          <w:szCs w:val="28"/>
        </w:rPr>
      </w:pPr>
      <w:r w:rsidRPr="00BE3C57">
        <w:rPr>
          <w:rFonts w:asciiTheme="minorHAnsi" w:hAnsiTheme="minorHAnsi" w:cstheme="minorHAnsi"/>
          <w:sz w:val="28"/>
          <w:szCs w:val="28"/>
        </w:rPr>
        <w:t xml:space="preserve">Pharmacy technician recruitment, development and ways of working will continue to evolve to meet the needs of the communities that pharmacy technicians serve. Scenarios suggest a shortfall between supply and demand of pharmacy technicians in all sectors, particularly in community pharmacy, over the next five years. </w:t>
      </w:r>
    </w:p>
    <w:p w14:paraId="113F8146" w14:textId="2E17A254" w:rsidR="00BE3C57" w:rsidRPr="00BE3C57" w:rsidRDefault="00BE3C57" w:rsidP="00BE3C57">
      <w:pPr>
        <w:rPr>
          <w:rFonts w:asciiTheme="minorHAnsi" w:hAnsiTheme="minorHAnsi" w:cstheme="minorHAnsi"/>
          <w:sz w:val="28"/>
          <w:szCs w:val="28"/>
          <w:highlight w:val="darkGray"/>
        </w:rPr>
      </w:pPr>
      <w:r w:rsidRPr="00BE3C57">
        <w:rPr>
          <w:rFonts w:asciiTheme="minorHAnsi" w:hAnsiTheme="minorHAnsi" w:cstheme="minorHAnsi"/>
          <w:sz w:val="28"/>
          <w:szCs w:val="28"/>
        </w:rPr>
        <w:t xml:space="preserve">To meet the demand, </w:t>
      </w:r>
      <w:r w:rsidR="00980022">
        <w:rPr>
          <w:rFonts w:asciiTheme="minorHAnsi" w:hAnsiTheme="minorHAnsi" w:cstheme="minorHAnsi"/>
          <w:sz w:val="28"/>
          <w:szCs w:val="28"/>
        </w:rPr>
        <w:t xml:space="preserve">the </w:t>
      </w:r>
      <w:r w:rsidR="00980022" w:rsidRPr="00980022">
        <w:rPr>
          <w:rFonts w:asciiTheme="minorHAnsi" w:hAnsiTheme="minorHAnsi" w:cstheme="minorHAnsi"/>
          <w:sz w:val="28"/>
          <w:szCs w:val="28"/>
        </w:rPr>
        <w:t>Pharmacy Technician Workforce Development Programme</w:t>
      </w:r>
      <w:r w:rsidRPr="00BE3C57">
        <w:rPr>
          <w:rFonts w:asciiTheme="minorHAnsi" w:hAnsiTheme="minorHAnsi" w:cstheme="minorHAnsi"/>
          <w:sz w:val="28"/>
          <w:szCs w:val="28"/>
        </w:rPr>
        <w:t xml:space="preserve"> will focus on three key priority areas, with short and long-term goals. Short-term goals are set out under each key priority area below.</w:t>
      </w:r>
    </w:p>
    <w:p w14:paraId="4C4F0A75" w14:textId="277C99DF" w:rsidR="00BE3C57" w:rsidRPr="00BE3C57" w:rsidRDefault="00BE3C57" w:rsidP="00BE3C57">
      <w:pPr>
        <w:rPr>
          <w:rFonts w:asciiTheme="minorHAnsi" w:hAnsiTheme="minorHAnsi" w:cstheme="minorHAnsi"/>
          <w:b/>
          <w:bCs/>
          <w:color w:val="005EB8" w:themeColor="text2"/>
          <w:sz w:val="28"/>
          <w:szCs w:val="28"/>
        </w:rPr>
      </w:pPr>
      <w:r w:rsidRPr="00BE3C57">
        <w:rPr>
          <w:rFonts w:asciiTheme="minorHAnsi" w:hAnsiTheme="minorHAnsi" w:cstheme="minorHAnsi"/>
          <w:b/>
          <w:bCs/>
          <w:color w:val="005EB8" w:themeColor="text2"/>
          <w:sz w:val="28"/>
          <w:szCs w:val="28"/>
        </w:rPr>
        <w:t>Key Priority Area 1: Train – Growing the workforce</w:t>
      </w:r>
    </w:p>
    <w:p w14:paraId="0F5114E8" w14:textId="77777777" w:rsidR="00BE3C57" w:rsidRPr="00BE3C57" w:rsidRDefault="00BE3C57" w:rsidP="00BE3C57">
      <w:pPr>
        <w:pStyle w:val="ListParagraph"/>
        <w:numPr>
          <w:ilvl w:val="0"/>
          <w:numId w:val="12"/>
        </w:numPr>
        <w:spacing w:after="280"/>
        <w:ind w:left="426"/>
        <w:rPr>
          <w:rFonts w:asciiTheme="minorHAnsi" w:hAnsiTheme="minorHAnsi" w:cstheme="minorHAnsi"/>
          <w:sz w:val="28"/>
          <w:szCs w:val="28"/>
          <w:lang w:val="en-US"/>
        </w:rPr>
      </w:pPr>
      <w:r w:rsidRPr="00BE3C57">
        <w:rPr>
          <w:rFonts w:asciiTheme="minorHAnsi" w:hAnsiTheme="minorHAnsi" w:cstheme="minorHAnsi"/>
          <w:sz w:val="28"/>
          <w:szCs w:val="28"/>
          <w:lang w:val="en-US"/>
        </w:rPr>
        <w:t xml:space="preserve">Expand workforce numbers through Pre-registration Trainee Pharmacy Technician (PTPT) apprenticeships, underpinned by a </w:t>
      </w:r>
      <w:proofErr w:type="spellStart"/>
      <w:r w:rsidRPr="00BE3C57">
        <w:rPr>
          <w:rFonts w:asciiTheme="minorHAnsi" w:hAnsiTheme="minorHAnsi" w:cstheme="minorHAnsi"/>
          <w:sz w:val="28"/>
          <w:szCs w:val="28"/>
          <w:lang w:val="en-US"/>
        </w:rPr>
        <w:t>standardised</w:t>
      </w:r>
      <w:proofErr w:type="spellEnd"/>
      <w:r w:rsidRPr="00BE3C57">
        <w:rPr>
          <w:rFonts w:asciiTheme="minorHAnsi" w:hAnsiTheme="minorHAnsi" w:cstheme="minorHAnsi"/>
          <w:sz w:val="28"/>
          <w:szCs w:val="28"/>
          <w:lang w:val="en-US"/>
        </w:rPr>
        <w:t xml:space="preserve"> education curriculum framework.</w:t>
      </w:r>
    </w:p>
    <w:p w14:paraId="0CB8C782" w14:textId="70485061" w:rsidR="00BE3C57" w:rsidRPr="00BE3C57" w:rsidRDefault="00BE3C57" w:rsidP="00BE3C57">
      <w:pPr>
        <w:pStyle w:val="ListParagraph"/>
        <w:numPr>
          <w:ilvl w:val="0"/>
          <w:numId w:val="12"/>
        </w:numPr>
        <w:spacing w:after="280"/>
        <w:ind w:left="426"/>
        <w:rPr>
          <w:rFonts w:asciiTheme="minorHAnsi" w:hAnsiTheme="minorHAnsi" w:cstheme="minorHAnsi"/>
          <w:sz w:val="28"/>
          <w:szCs w:val="28"/>
          <w:lang w:val="en-US"/>
        </w:rPr>
      </w:pPr>
      <w:r w:rsidRPr="00BE3C57">
        <w:rPr>
          <w:rFonts w:asciiTheme="minorHAnsi" w:hAnsiTheme="minorHAnsi" w:cstheme="minorHAnsi"/>
          <w:sz w:val="28"/>
          <w:szCs w:val="28"/>
          <w:lang w:val="en-US"/>
        </w:rPr>
        <w:t>Promote pharmacy technician careers.</w:t>
      </w:r>
    </w:p>
    <w:p w14:paraId="551757CE" w14:textId="7227CC10" w:rsidR="00BE3C57" w:rsidRPr="00BE3C57" w:rsidRDefault="00BE3C57" w:rsidP="00BE3C57">
      <w:pPr>
        <w:rPr>
          <w:rFonts w:asciiTheme="minorHAnsi" w:hAnsiTheme="minorHAnsi" w:cstheme="minorHAnsi"/>
          <w:b/>
          <w:bCs/>
          <w:color w:val="005EB8" w:themeColor="text2"/>
          <w:sz w:val="28"/>
          <w:szCs w:val="28"/>
        </w:rPr>
      </w:pPr>
      <w:r w:rsidRPr="00BE3C57">
        <w:rPr>
          <w:rFonts w:asciiTheme="minorHAnsi" w:hAnsiTheme="minorHAnsi" w:cstheme="minorHAnsi"/>
          <w:b/>
          <w:bCs/>
          <w:color w:val="005EB8" w:themeColor="text2"/>
          <w:sz w:val="28"/>
          <w:szCs w:val="28"/>
        </w:rPr>
        <w:t>Key Priority Area 2: Retain – Embedding the right culture and improving retention</w:t>
      </w:r>
    </w:p>
    <w:p w14:paraId="7B904E21" w14:textId="77777777" w:rsidR="00BE3C57" w:rsidRPr="00BE3C57" w:rsidRDefault="00BE3C57" w:rsidP="00BE3C57">
      <w:pPr>
        <w:pStyle w:val="ListParagraph"/>
        <w:numPr>
          <w:ilvl w:val="0"/>
          <w:numId w:val="13"/>
        </w:numPr>
        <w:spacing w:after="280"/>
        <w:ind w:left="426"/>
        <w:rPr>
          <w:rFonts w:asciiTheme="minorHAnsi" w:hAnsiTheme="minorHAnsi" w:cstheme="minorHAnsi"/>
          <w:sz w:val="28"/>
          <w:szCs w:val="28"/>
          <w:lang w:val="en-US"/>
        </w:rPr>
      </w:pPr>
      <w:r w:rsidRPr="00BE3C57">
        <w:rPr>
          <w:rFonts w:asciiTheme="minorHAnsi" w:hAnsiTheme="minorHAnsi" w:cstheme="minorHAnsi"/>
          <w:sz w:val="28"/>
          <w:szCs w:val="28"/>
          <w:lang w:val="en-US"/>
        </w:rPr>
        <w:t>Provide leadership, fellowship and management training and development opportunities.</w:t>
      </w:r>
    </w:p>
    <w:p w14:paraId="6A122F16" w14:textId="77777777" w:rsidR="00BE3C57" w:rsidRPr="00BE3C57" w:rsidRDefault="00BE3C57" w:rsidP="00BE3C57">
      <w:pPr>
        <w:pStyle w:val="ListParagraph"/>
        <w:numPr>
          <w:ilvl w:val="0"/>
          <w:numId w:val="13"/>
        </w:numPr>
        <w:spacing w:after="280"/>
        <w:ind w:left="426"/>
        <w:rPr>
          <w:rFonts w:asciiTheme="minorHAnsi" w:hAnsiTheme="minorHAnsi" w:cstheme="minorHAnsi"/>
          <w:sz w:val="28"/>
          <w:szCs w:val="28"/>
          <w:lang w:val="en-US"/>
        </w:rPr>
      </w:pPr>
      <w:r w:rsidRPr="00BE3C57">
        <w:rPr>
          <w:rFonts w:asciiTheme="minorHAnsi" w:hAnsiTheme="minorHAnsi" w:cstheme="minorHAnsi"/>
          <w:sz w:val="28"/>
          <w:szCs w:val="28"/>
          <w:lang w:val="en-US"/>
        </w:rPr>
        <w:t>Commission the creation of funded development pathways from the point of registration to beyond, underpinned by career framework(s).</w:t>
      </w:r>
    </w:p>
    <w:p w14:paraId="20E5D6FA" w14:textId="6BFE6F4E" w:rsidR="00BE3C57" w:rsidRPr="00BE3C57" w:rsidRDefault="00BE3C57" w:rsidP="00BE3C57">
      <w:pPr>
        <w:pStyle w:val="ListParagraph"/>
        <w:numPr>
          <w:ilvl w:val="0"/>
          <w:numId w:val="13"/>
        </w:numPr>
        <w:spacing w:after="280"/>
        <w:ind w:left="426"/>
        <w:rPr>
          <w:rFonts w:asciiTheme="minorHAnsi" w:hAnsiTheme="minorHAnsi" w:cstheme="minorHAnsi"/>
          <w:sz w:val="28"/>
          <w:szCs w:val="28"/>
          <w:lang w:val="en-US"/>
        </w:rPr>
      </w:pPr>
      <w:r w:rsidRPr="00BE3C57">
        <w:rPr>
          <w:rFonts w:asciiTheme="minorHAnsi" w:hAnsiTheme="minorHAnsi" w:cstheme="minorHAnsi"/>
          <w:sz w:val="28"/>
          <w:szCs w:val="28"/>
        </w:rPr>
        <w:t>Support initiatives to increase diversity within the profession and tackle discrimination.</w:t>
      </w:r>
    </w:p>
    <w:p w14:paraId="1E732117" w14:textId="7BCC69A9" w:rsidR="00BE3C57" w:rsidRPr="00BE3C57" w:rsidRDefault="00BE3C57" w:rsidP="00BE3C57">
      <w:pPr>
        <w:rPr>
          <w:rFonts w:asciiTheme="minorHAnsi" w:hAnsiTheme="minorHAnsi" w:cstheme="minorHAnsi"/>
          <w:b/>
          <w:bCs/>
          <w:color w:val="005EB8" w:themeColor="text2"/>
          <w:sz w:val="28"/>
          <w:szCs w:val="28"/>
        </w:rPr>
      </w:pPr>
      <w:r w:rsidRPr="00BE3C57">
        <w:rPr>
          <w:rFonts w:asciiTheme="minorHAnsi" w:hAnsiTheme="minorHAnsi" w:cstheme="minorHAnsi"/>
          <w:b/>
          <w:bCs/>
          <w:color w:val="005EB8" w:themeColor="text2"/>
          <w:sz w:val="28"/>
          <w:szCs w:val="28"/>
        </w:rPr>
        <w:t>Key Priority Area 3: Reform – Working and training differently</w:t>
      </w:r>
    </w:p>
    <w:p w14:paraId="41C938B6" w14:textId="77777777" w:rsidR="00BE3C57" w:rsidRPr="00BE3C57" w:rsidRDefault="00BE3C57" w:rsidP="00BE3C57">
      <w:pPr>
        <w:pStyle w:val="ListParagraph"/>
        <w:numPr>
          <w:ilvl w:val="0"/>
          <w:numId w:val="14"/>
        </w:numPr>
        <w:spacing w:after="280"/>
        <w:ind w:left="426"/>
        <w:rPr>
          <w:rFonts w:asciiTheme="minorHAnsi" w:hAnsiTheme="minorHAnsi" w:cstheme="minorHAnsi"/>
          <w:sz w:val="28"/>
          <w:szCs w:val="28"/>
          <w:lang w:val="en-US"/>
        </w:rPr>
      </w:pPr>
      <w:r w:rsidRPr="00BE3C57">
        <w:rPr>
          <w:rFonts w:asciiTheme="minorHAnsi" w:hAnsiTheme="minorHAnsi" w:cstheme="minorHAnsi"/>
          <w:sz w:val="28"/>
          <w:szCs w:val="28"/>
          <w:lang w:val="en-US"/>
        </w:rPr>
        <w:t>Commission training in clinical skills and professional confidence, in readiness for national healthcare reforms.</w:t>
      </w:r>
    </w:p>
    <w:p w14:paraId="5F917149" w14:textId="77777777" w:rsidR="00BE3C57" w:rsidRPr="00BE3C57" w:rsidRDefault="00BE3C57" w:rsidP="00BE3C57">
      <w:pPr>
        <w:pStyle w:val="ListParagraph"/>
        <w:numPr>
          <w:ilvl w:val="0"/>
          <w:numId w:val="14"/>
        </w:numPr>
        <w:spacing w:after="280"/>
        <w:ind w:left="426"/>
        <w:rPr>
          <w:rFonts w:asciiTheme="minorHAnsi" w:hAnsiTheme="minorHAnsi" w:cstheme="minorHAnsi"/>
          <w:sz w:val="28"/>
          <w:szCs w:val="28"/>
          <w:lang w:val="en-US"/>
        </w:rPr>
      </w:pPr>
      <w:r w:rsidRPr="00BE3C57">
        <w:rPr>
          <w:rFonts w:asciiTheme="minorHAnsi" w:hAnsiTheme="minorHAnsi" w:cstheme="minorHAnsi"/>
          <w:bCs/>
          <w:kern w:val="28"/>
          <w:sz w:val="28"/>
          <w:szCs w:val="28"/>
          <w:lang w:val="en-US"/>
          <w14:ligatures w14:val="standardContextual"/>
        </w:rPr>
        <w:t>Promote the uptake of available mental health and learning disabilities training.</w:t>
      </w:r>
    </w:p>
    <w:p w14:paraId="36EBCCF8" w14:textId="77777777" w:rsidR="00BE3C57" w:rsidRPr="00BE3C57" w:rsidRDefault="00BE3C57" w:rsidP="00BE3C57">
      <w:pPr>
        <w:rPr>
          <w:rFonts w:asciiTheme="minorHAnsi" w:hAnsiTheme="minorHAnsi" w:cstheme="minorHAnsi"/>
          <w:b/>
          <w:bCs/>
          <w:color w:val="005EB8" w:themeColor="text2"/>
          <w:sz w:val="28"/>
          <w:szCs w:val="28"/>
        </w:rPr>
      </w:pPr>
      <w:r w:rsidRPr="00BE3C57">
        <w:rPr>
          <w:rFonts w:asciiTheme="minorHAnsi" w:hAnsiTheme="minorHAnsi" w:cstheme="minorHAnsi"/>
          <w:b/>
          <w:bCs/>
          <w:color w:val="005EB8" w:themeColor="text2"/>
          <w:sz w:val="28"/>
          <w:szCs w:val="28"/>
        </w:rPr>
        <w:lastRenderedPageBreak/>
        <w:t>Points to note</w:t>
      </w:r>
    </w:p>
    <w:p w14:paraId="0F231958" w14:textId="308D1213" w:rsidR="00BE3C57" w:rsidRPr="00BE3C57" w:rsidRDefault="4098B592" w:rsidP="00AEC026">
      <w:pPr>
        <w:pStyle w:val="ListParagraph"/>
        <w:numPr>
          <w:ilvl w:val="0"/>
          <w:numId w:val="4"/>
        </w:numPr>
        <w:spacing w:after="280"/>
        <w:rPr>
          <w:rFonts w:asciiTheme="minorHAnsi" w:hAnsiTheme="minorHAnsi" w:cstheme="minorBidi"/>
          <w:sz w:val="28"/>
          <w:szCs w:val="28"/>
        </w:rPr>
      </w:pPr>
      <w:r w:rsidRPr="00AEC026">
        <w:rPr>
          <w:rFonts w:asciiTheme="minorHAnsi" w:hAnsiTheme="minorHAnsi" w:cstheme="minorBidi"/>
          <w:sz w:val="28"/>
          <w:szCs w:val="28"/>
        </w:rPr>
        <w:t xml:space="preserve">This </w:t>
      </w:r>
      <w:r w:rsidR="6D10A211" w:rsidRPr="00AEC026">
        <w:rPr>
          <w:rFonts w:asciiTheme="minorHAnsi" w:hAnsiTheme="minorHAnsi" w:cstheme="minorBidi"/>
          <w:sz w:val="28"/>
          <w:szCs w:val="28"/>
        </w:rPr>
        <w:t>programme</w:t>
      </w:r>
      <w:r w:rsidRPr="00AEC026">
        <w:rPr>
          <w:rFonts w:asciiTheme="minorHAnsi" w:hAnsiTheme="minorHAnsi" w:cstheme="minorBidi"/>
          <w:sz w:val="28"/>
          <w:szCs w:val="28"/>
        </w:rPr>
        <w:t xml:space="preserve"> is specific to pharmacy technician workforce development. </w:t>
      </w:r>
    </w:p>
    <w:p w14:paraId="508FF0E0" w14:textId="77777777" w:rsidR="00BE3C57" w:rsidRPr="00BE3C57" w:rsidRDefault="00BE3C57" w:rsidP="00BE3C57">
      <w:pPr>
        <w:pStyle w:val="ListParagraph"/>
        <w:numPr>
          <w:ilvl w:val="0"/>
          <w:numId w:val="4"/>
        </w:numPr>
        <w:spacing w:after="280"/>
        <w:rPr>
          <w:rFonts w:asciiTheme="minorHAnsi" w:hAnsiTheme="minorHAnsi" w:cstheme="minorHAnsi"/>
          <w:sz w:val="28"/>
          <w:szCs w:val="28"/>
        </w:rPr>
      </w:pPr>
      <w:r w:rsidRPr="00BE3C57">
        <w:rPr>
          <w:rFonts w:asciiTheme="minorHAnsi" w:hAnsiTheme="minorHAnsi" w:cstheme="minorHAnsi"/>
          <w:sz w:val="28"/>
          <w:szCs w:val="28"/>
        </w:rPr>
        <w:t>Aseptic workforce transformation, including pharmacy technicians, is being reviewed and developed by the NHS England Infusion and Specialist Medicines workstream.</w:t>
      </w:r>
    </w:p>
    <w:p w14:paraId="3D18AC26" w14:textId="52209427" w:rsidR="00BE3C57" w:rsidRPr="00BE3C57" w:rsidRDefault="00980022" w:rsidP="00BE3C57">
      <w:pPr>
        <w:pStyle w:val="ListParagraph"/>
        <w:numPr>
          <w:ilvl w:val="0"/>
          <w:numId w:val="4"/>
        </w:numPr>
        <w:spacing w:after="280"/>
        <w:rPr>
          <w:rFonts w:asciiTheme="minorHAnsi" w:hAnsiTheme="minorHAnsi" w:cstheme="minorHAnsi"/>
          <w:sz w:val="28"/>
          <w:szCs w:val="28"/>
        </w:rPr>
      </w:pPr>
      <w:r>
        <w:rPr>
          <w:rFonts w:asciiTheme="minorHAnsi" w:hAnsiTheme="minorHAnsi" w:cstheme="minorHAnsi"/>
          <w:sz w:val="28"/>
          <w:szCs w:val="28"/>
        </w:rPr>
        <w:t xml:space="preserve">The </w:t>
      </w:r>
      <w:r w:rsidRPr="00980022">
        <w:rPr>
          <w:rFonts w:asciiTheme="minorHAnsi" w:hAnsiTheme="minorHAnsi" w:cstheme="minorHAnsi"/>
          <w:sz w:val="28"/>
          <w:szCs w:val="28"/>
        </w:rPr>
        <w:t>Pharmacy Technician Workforce Development Programme</w:t>
      </w:r>
      <w:r w:rsidR="00BE3C57" w:rsidRPr="00BE3C57">
        <w:rPr>
          <w:rFonts w:asciiTheme="minorHAnsi" w:hAnsiTheme="minorHAnsi" w:cstheme="minorHAnsi"/>
          <w:sz w:val="28"/>
          <w:szCs w:val="28"/>
        </w:rPr>
        <w:t xml:space="preserve"> will be reviewed and refreshed in line with future iterations of the NHS Long Term Workforce Plan.</w:t>
      </w:r>
    </w:p>
    <w:p w14:paraId="7691016C" w14:textId="77777777" w:rsidR="00BE3C57" w:rsidRPr="00EF2A8D" w:rsidRDefault="00BE3C57" w:rsidP="00BE3C57">
      <w:pPr>
        <w:rPr>
          <w:highlight w:val="darkGray"/>
        </w:rPr>
      </w:pPr>
    </w:p>
    <w:p w14:paraId="33F08159" w14:textId="77777777" w:rsidR="00BE3C57" w:rsidRDefault="00BE3C57" w:rsidP="00BE3C57">
      <w:pPr>
        <w:rPr>
          <w:highlight w:val="darkGray"/>
        </w:rPr>
      </w:pPr>
    </w:p>
    <w:p w14:paraId="2C9F0993" w14:textId="77777777" w:rsidR="00BE3C57" w:rsidRDefault="00BE3C57" w:rsidP="00BE3C57">
      <w:pPr>
        <w:spacing w:after="0" w:line="240" w:lineRule="auto"/>
        <w:textboxTightWrap w:val="none"/>
        <w:rPr>
          <w:rFonts w:cs="Arial"/>
          <w:b/>
          <w:bCs/>
          <w:color w:val="005EB8" w:themeColor="text2"/>
          <w:kern w:val="28"/>
          <w:sz w:val="28"/>
          <w:szCs w:val="28"/>
          <w14:ligatures w14:val="standardContextual"/>
        </w:rPr>
      </w:pPr>
      <w:r>
        <w:br w:type="page"/>
      </w:r>
    </w:p>
    <w:p w14:paraId="6C3F28DD" w14:textId="7F4B41F7" w:rsidR="00BE3C57" w:rsidRPr="00BE3C57" w:rsidRDefault="00BE3C57" w:rsidP="00042728">
      <w:pPr>
        <w:pStyle w:val="Heading2"/>
        <w:numPr>
          <w:ilvl w:val="0"/>
          <w:numId w:val="11"/>
        </w:numPr>
        <w:ind w:left="284" w:hanging="284"/>
      </w:pPr>
      <w:bookmarkStart w:id="6" w:name="_Toc149038770"/>
      <w:bookmarkStart w:id="7" w:name="_Toc164757279"/>
      <w:r w:rsidRPr="00BE3C57">
        <w:lastRenderedPageBreak/>
        <w:t>INTRODUCTION</w:t>
      </w:r>
      <w:bookmarkEnd w:id="6"/>
      <w:bookmarkEnd w:id="7"/>
    </w:p>
    <w:p w14:paraId="4487D3CD" w14:textId="4EB52FBA" w:rsidR="00BE3C57" w:rsidRPr="00042728" w:rsidRDefault="00BE3C57" w:rsidP="00042728">
      <w:pPr>
        <w:rPr>
          <w:rFonts w:asciiTheme="minorHAnsi" w:hAnsiTheme="minorHAnsi" w:cstheme="minorHAnsi"/>
          <w:sz w:val="28"/>
          <w:szCs w:val="28"/>
        </w:rPr>
      </w:pPr>
      <w:r w:rsidRPr="00042728">
        <w:rPr>
          <w:rFonts w:asciiTheme="minorHAnsi" w:hAnsiTheme="minorHAnsi" w:cstheme="minorHAnsi"/>
          <w:sz w:val="28"/>
          <w:szCs w:val="28"/>
        </w:rPr>
        <w:t>Pharmacy technicians are a regulated healthcare profession whose contribution is vital to successfully achieving new pharmaceutical care delivery models and national healthcare policy ambitions. Pharmacy technicians undertake a variety of roles to improve patient outcomes through medicines optimisation and provision of other pharmacy services. They are core members of pharmacy and multi-professional teams, across all sectors of practice.</w:t>
      </w:r>
    </w:p>
    <w:p w14:paraId="7549551E" w14:textId="6B283EB6" w:rsidR="00BE3C57" w:rsidRPr="00042728" w:rsidRDefault="4098B592" w:rsidP="00AEC026">
      <w:pPr>
        <w:rPr>
          <w:rFonts w:asciiTheme="minorHAnsi" w:hAnsiTheme="minorHAnsi" w:cstheme="minorBidi"/>
          <w:sz w:val="28"/>
          <w:szCs w:val="28"/>
        </w:rPr>
      </w:pPr>
      <w:r w:rsidRPr="00AEC026">
        <w:rPr>
          <w:rFonts w:asciiTheme="minorHAnsi" w:hAnsiTheme="minorHAnsi" w:cstheme="minorBidi"/>
          <w:sz w:val="28"/>
          <w:szCs w:val="28"/>
        </w:rPr>
        <w:t xml:space="preserve">The wider health and care landscape is changing at pace, and this requires </w:t>
      </w:r>
      <w:proofErr w:type="gramStart"/>
      <w:r w:rsidRPr="00AEC026">
        <w:rPr>
          <w:rFonts w:asciiTheme="minorHAnsi" w:hAnsiTheme="minorHAnsi" w:cstheme="minorBidi"/>
          <w:sz w:val="28"/>
          <w:szCs w:val="28"/>
        </w:rPr>
        <w:t>sufficient numbers of</w:t>
      </w:r>
      <w:proofErr w:type="gramEnd"/>
      <w:r w:rsidRPr="00AEC026">
        <w:rPr>
          <w:rFonts w:asciiTheme="minorHAnsi" w:hAnsiTheme="minorHAnsi" w:cstheme="minorBidi"/>
          <w:sz w:val="28"/>
          <w:szCs w:val="28"/>
        </w:rPr>
        <w:t xml:space="preserve"> people to be trained with the right skills, values and behaviours, at the right time and in the right place. This is our challenge, and with it comes opportunities. There are several enablers that will facilitate change within the profession and provide the opportunity to maximise what pharmacy technicians can offer to patients and the public who use pharmacy services. These range from legislative reform and professional leadership at a national level, to local development opportunities that create job satisfaction.</w:t>
      </w:r>
    </w:p>
    <w:p w14:paraId="2DBD413A" w14:textId="282CC8F8" w:rsidR="00BE3C57" w:rsidRPr="00042728" w:rsidRDefault="00BE3C57" w:rsidP="00042728">
      <w:pPr>
        <w:rPr>
          <w:rFonts w:asciiTheme="minorHAnsi" w:hAnsiTheme="minorHAnsi" w:cstheme="minorHAnsi"/>
          <w:sz w:val="28"/>
          <w:szCs w:val="28"/>
        </w:rPr>
      </w:pPr>
      <w:r w:rsidRPr="00042728">
        <w:rPr>
          <w:rFonts w:asciiTheme="minorHAnsi" w:hAnsiTheme="minorHAnsi" w:cstheme="minorHAnsi"/>
          <w:sz w:val="28"/>
          <w:szCs w:val="28"/>
        </w:rPr>
        <w:t>The pharmacy technician workforce can offer significant value to the NHS, in all settings, so recruitment and retention are important factors to consider when growing the workforce. This was identified as a need in the NHS England Long Term Workforce Plan (LTWP)</w:t>
      </w:r>
      <w:r w:rsidRPr="00042728">
        <w:rPr>
          <w:rFonts w:asciiTheme="minorHAnsi" w:hAnsiTheme="minorHAnsi" w:cstheme="minorHAnsi"/>
          <w:sz w:val="28"/>
          <w:szCs w:val="28"/>
          <w:vertAlign w:val="superscript"/>
        </w:rPr>
        <w:t>1</w:t>
      </w:r>
      <w:r w:rsidRPr="00042728">
        <w:rPr>
          <w:rFonts w:asciiTheme="minorHAnsi" w:hAnsiTheme="minorHAnsi" w:cstheme="minorHAnsi"/>
          <w:sz w:val="28"/>
          <w:szCs w:val="28"/>
        </w:rPr>
        <w:t xml:space="preserve">. </w:t>
      </w:r>
    </w:p>
    <w:p w14:paraId="507C1973" w14:textId="77777777" w:rsidR="00BE3C57" w:rsidRPr="00042728" w:rsidRDefault="00BE3C57" w:rsidP="00042728">
      <w:pPr>
        <w:rPr>
          <w:rFonts w:asciiTheme="minorHAnsi" w:hAnsiTheme="minorHAnsi" w:cstheme="minorHAnsi"/>
          <w:bCs/>
          <w:kern w:val="28"/>
          <w:sz w:val="28"/>
          <w:szCs w:val="28"/>
          <w:lang w:val="en-US"/>
          <w14:ligatures w14:val="standardContextual"/>
        </w:rPr>
      </w:pPr>
      <w:r w:rsidRPr="00042728">
        <w:rPr>
          <w:rFonts w:asciiTheme="minorHAnsi" w:hAnsiTheme="minorHAnsi" w:cstheme="minorHAnsi"/>
          <w:bCs/>
          <w:kern w:val="28"/>
          <w:sz w:val="28"/>
          <w:szCs w:val="28"/>
          <w:lang w:val="en-US"/>
          <w14:ligatures w14:val="standardContextual"/>
        </w:rPr>
        <w:t xml:space="preserve">Pharmacy Technicians work with patients to improve medicines </w:t>
      </w:r>
      <w:proofErr w:type="spellStart"/>
      <w:r w:rsidRPr="00042728">
        <w:rPr>
          <w:rFonts w:asciiTheme="minorHAnsi" w:hAnsiTheme="minorHAnsi" w:cstheme="minorHAnsi"/>
          <w:bCs/>
          <w:kern w:val="28"/>
          <w:sz w:val="28"/>
          <w:szCs w:val="28"/>
          <w:lang w:val="en-US"/>
          <w14:ligatures w14:val="standardContextual"/>
        </w:rPr>
        <w:t>optimisation</w:t>
      </w:r>
      <w:proofErr w:type="spellEnd"/>
      <w:r w:rsidRPr="00042728">
        <w:rPr>
          <w:rFonts w:asciiTheme="minorHAnsi" w:hAnsiTheme="minorHAnsi" w:cstheme="minorHAnsi"/>
          <w:bCs/>
          <w:kern w:val="28"/>
          <w:sz w:val="28"/>
          <w:szCs w:val="28"/>
          <w:lang w:val="en-US"/>
          <w14:ligatures w14:val="standardContextual"/>
        </w:rPr>
        <w:t xml:space="preserve"> and promote health and wellbeing. They practice in a wide range of settings across the health service and </w:t>
      </w:r>
      <w:proofErr w:type="spellStart"/>
      <w:r w:rsidRPr="00042728">
        <w:rPr>
          <w:rFonts w:asciiTheme="minorHAnsi" w:hAnsiTheme="minorHAnsi" w:cstheme="minorHAnsi"/>
          <w:bCs/>
          <w:kern w:val="28"/>
          <w:sz w:val="28"/>
          <w:szCs w:val="28"/>
          <w:lang w:val="en-US"/>
          <w14:ligatures w14:val="standardContextual"/>
        </w:rPr>
        <w:t>specialise</w:t>
      </w:r>
      <w:proofErr w:type="spellEnd"/>
      <w:r w:rsidRPr="00042728">
        <w:rPr>
          <w:rFonts w:asciiTheme="minorHAnsi" w:hAnsiTheme="minorHAnsi" w:cstheme="minorHAnsi"/>
          <w:bCs/>
          <w:kern w:val="28"/>
          <w:sz w:val="28"/>
          <w:szCs w:val="28"/>
          <w:lang w:val="en-US"/>
          <w14:ligatures w14:val="standardContextual"/>
        </w:rPr>
        <w:t xml:space="preserve"> in supporting people to get the best from investment in, and use of, medicines. Their work covers areas where medicines are selected, procured, delivered, prescribed, administered and reviewed, and increasingly in clinical settings where medicines are supplied or administered. Initial Education and Training (IET) supports pharmacy technicians to work in community pharmacy, general practice, hospitals, health and justice settings, mental health and community health services.</w:t>
      </w:r>
    </w:p>
    <w:p w14:paraId="43E92047" w14:textId="2738E779" w:rsidR="00BE3C57" w:rsidRPr="00042728" w:rsidRDefault="4098B592" w:rsidP="00AEC026">
      <w:pPr>
        <w:pStyle w:val="Standfirst"/>
        <w:rPr>
          <w:i/>
          <w:iCs/>
        </w:rPr>
      </w:pPr>
      <w:r>
        <w:t>As practice evolves, the WT&amp;E directorate Pharmacy Technician Workforce Development</w:t>
      </w:r>
      <w:r w:rsidRPr="00AEC026">
        <w:rPr>
          <w:i/>
          <w:iCs/>
        </w:rPr>
        <w:t xml:space="preserve"> </w:t>
      </w:r>
      <w:r w:rsidR="23A59DDC" w:rsidRPr="00304A81">
        <w:t>Programme</w:t>
      </w:r>
      <w:r>
        <w:t xml:space="preserve"> is required to enable the delivery of the NHS LTWP recommendations. It will also support delivery of public health initiatives by focusing on workforce development that aligns with local population health needs.</w:t>
      </w:r>
    </w:p>
    <w:p w14:paraId="3C4A9404" w14:textId="7F24EB1B" w:rsidR="00BE3C57" w:rsidRPr="00042728" w:rsidRDefault="00BE3C57" w:rsidP="00042728">
      <w:pPr>
        <w:pStyle w:val="h2numbered"/>
        <w:numPr>
          <w:ilvl w:val="0"/>
          <w:numId w:val="0"/>
        </w:numPr>
      </w:pPr>
      <w:bookmarkStart w:id="8" w:name="_Toc164757280"/>
      <w:r w:rsidRPr="00042728">
        <w:lastRenderedPageBreak/>
        <w:t>Workforce, Training and Education – Pharmacy Context</w:t>
      </w:r>
      <w:bookmarkEnd w:id="8"/>
    </w:p>
    <w:p w14:paraId="141D44B5" w14:textId="77777777" w:rsidR="00BE3C57" w:rsidRPr="00042728" w:rsidRDefault="00BE3C57" w:rsidP="00042728">
      <w:pPr>
        <w:pStyle w:val="Standfirst"/>
        <w:rPr>
          <w:b/>
        </w:rPr>
      </w:pPr>
      <w:r w:rsidRPr="00042728">
        <w:t xml:space="preserve">The NHS Long Term Workforce Plan outlines an ambitious plan to train, retain and reform the NHS workforce both now, and into the future. Aligned to this, Pharmacy workforce, training and education is going through a period of significant reform, encompassing reforms to the initial education and training of pharmacists, supporting the development of more pharmacist independent prescribers and a focus of growing the number of pharmacy technicians training and working across all sectors of Pharmacy. </w:t>
      </w:r>
    </w:p>
    <w:p w14:paraId="41E192C5" w14:textId="1D5993EA" w:rsidR="00BE3C57" w:rsidRPr="00042728" w:rsidRDefault="4098B592" w:rsidP="00042728">
      <w:pPr>
        <w:pStyle w:val="Standfirst"/>
      </w:pPr>
      <w:r>
        <w:t>The NHS England WT&amp;E Pharmacy programme covers elements of pharmacy technician workforce, training and education through its regional and national pharmacy technician workstreams, pharmacy integration programme (</w:t>
      </w:r>
      <w:proofErr w:type="spellStart"/>
      <w:r>
        <w:t>PhIP</w:t>
      </w:r>
      <w:proofErr w:type="spellEnd"/>
      <w:r>
        <w:t xml:space="preserve">), pharmacy careers work and through its data workstreams, including the community pharmacy workforce survey. Moving forward, the pharmacy technician workforce development </w:t>
      </w:r>
      <w:r w:rsidR="7807E4C1">
        <w:t>programme</w:t>
      </w:r>
      <w:r>
        <w:t xml:space="preserve"> will need to ensure each of these strands comes together cohesively and provide a structure through which their delivery can be assured.</w:t>
      </w:r>
    </w:p>
    <w:p w14:paraId="653DB154" w14:textId="77777777" w:rsidR="00042728" w:rsidRPr="00042728" w:rsidRDefault="00042728" w:rsidP="00042728">
      <w:pPr>
        <w:rPr>
          <w:rFonts w:asciiTheme="minorHAnsi" w:hAnsiTheme="minorHAnsi" w:cstheme="minorHAnsi"/>
          <w:b/>
          <w:bCs/>
          <w:color w:val="005EB8" w:themeColor="text2"/>
          <w:sz w:val="28"/>
          <w:szCs w:val="28"/>
        </w:rPr>
      </w:pPr>
      <w:r w:rsidRPr="00042728">
        <w:rPr>
          <w:rFonts w:asciiTheme="minorHAnsi" w:hAnsiTheme="minorHAnsi" w:cstheme="minorHAnsi"/>
          <w:b/>
          <w:bCs/>
          <w:color w:val="005EB8" w:themeColor="text2"/>
          <w:sz w:val="28"/>
          <w:szCs w:val="28"/>
        </w:rPr>
        <w:t>Points to note</w:t>
      </w:r>
    </w:p>
    <w:p w14:paraId="06C436FB" w14:textId="4727C1BF" w:rsidR="00BE3C57" w:rsidRPr="00042728" w:rsidRDefault="4098B592" w:rsidP="00AEC026">
      <w:pPr>
        <w:pStyle w:val="ListParagraph"/>
        <w:numPr>
          <w:ilvl w:val="0"/>
          <w:numId w:val="4"/>
        </w:numPr>
        <w:spacing w:after="280"/>
        <w:ind w:left="426"/>
        <w:rPr>
          <w:rFonts w:asciiTheme="minorHAnsi" w:hAnsiTheme="minorHAnsi" w:cstheme="minorBidi"/>
          <w:sz w:val="28"/>
          <w:szCs w:val="28"/>
        </w:rPr>
      </w:pPr>
      <w:r w:rsidRPr="00AEC026">
        <w:rPr>
          <w:rFonts w:asciiTheme="minorHAnsi" w:hAnsiTheme="minorHAnsi" w:cstheme="minorBidi"/>
          <w:sz w:val="28"/>
          <w:szCs w:val="28"/>
        </w:rPr>
        <w:t xml:space="preserve">Pharmacy technicians are a distinct professional group, and this </w:t>
      </w:r>
      <w:r w:rsidR="243344FC" w:rsidRPr="00AEC026">
        <w:rPr>
          <w:rFonts w:asciiTheme="minorHAnsi" w:hAnsiTheme="minorHAnsi" w:cstheme="minorBidi"/>
          <w:sz w:val="28"/>
          <w:szCs w:val="28"/>
        </w:rPr>
        <w:t>programme</w:t>
      </w:r>
      <w:r w:rsidRPr="00AEC026">
        <w:rPr>
          <w:rFonts w:asciiTheme="minorHAnsi" w:hAnsiTheme="minorHAnsi" w:cstheme="minorBidi"/>
          <w:sz w:val="28"/>
          <w:szCs w:val="28"/>
        </w:rPr>
        <w:t xml:space="preserve"> is specific to pharmacy technicians. To deliver on policy ambition, there is a need for wider workforce development and separate plans will be created to upskill other members of the team.</w:t>
      </w:r>
    </w:p>
    <w:p w14:paraId="307E01D8" w14:textId="7BE2A452" w:rsidR="00BE3C57" w:rsidRPr="00042728" w:rsidRDefault="4098B592" w:rsidP="00AEC026">
      <w:pPr>
        <w:pStyle w:val="ListParagraph"/>
        <w:numPr>
          <w:ilvl w:val="0"/>
          <w:numId w:val="4"/>
        </w:numPr>
        <w:spacing w:after="280"/>
        <w:ind w:left="426"/>
        <w:rPr>
          <w:rFonts w:asciiTheme="minorHAnsi" w:hAnsiTheme="minorHAnsi" w:cstheme="minorBidi"/>
          <w:sz w:val="28"/>
          <w:szCs w:val="28"/>
        </w:rPr>
      </w:pPr>
      <w:r w:rsidRPr="00AEC026">
        <w:rPr>
          <w:rFonts w:asciiTheme="minorHAnsi" w:hAnsiTheme="minorHAnsi" w:cstheme="minorBidi"/>
          <w:sz w:val="28"/>
          <w:szCs w:val="28"/>
        </w:rPr>
        <w:t xml:space="preserve">Aseptic workforce transformation is being reviewed and developed holistically by the Infusion and Specialist Medicines workstream. This work will encompass pharmacy technicians and will dovetail into general workforce development principles set out in this </w:t>
      </w:r>
      <w:r w:rsidR="142C407F" w:rsidRPr="00AEC026">
        <w:rPr>
          <w:rFonts w:asciiTheme="minorHAnsi" w:hAnsiTheme="minorHAnsi" w:cstheme="minorBidi"/>
          <w:sz w:val="28"/>
          <w:szCs w:val="28"/>
        </w:rPr>
        <w:t>document</w:t>
      </w:r>
      <w:r w:rsidRPr="00AEC026">
        <w:rPr>
          <w:rFonts w:asciiTheme="minorHAnsi" w:hAnsiTheme="minorHAnsi" w:cstheme="minorBidi"/>
          <w:sz w:val="28"/>
          <w:szCs w:val="28"/>
        </w:rPr>
        <w:t xml:space="preserve">. For this reason, there will not be references to this sector of the workforce within this </w:t>
      </w:r>
      <w:r w:rsidR="3D97A245" w:rsidRPr="00AEC026">
        <w:rPr>
          <w:rFonts w:asciiTheme="minorHAnsi" w:hAnsiTheme="minorHAnsi" w:cstheme="minorBidi"/>
          <w:sz w:val="28"/>
          <w:szCs w:val="28"/>
        </w:rPr>
        <w:t>programme</w:t>
      </w:r>
      <w:r w:rsidRPr="00AEC026">
        <w:rPr>
          <w:rFonts w:asciiTheme="minorHAnsi" w:hAnsiTheme="minorHAnsi" w:cstheme="minorBidi"/>
          <w:sz w:val="28"/>
          <w:szCs w:val="28"/>
        </w:rPr>
        <w:t>.</w:t>
      </w:r>
    </w:p>
    <w:p w14:paraId="6D1979F5" w14:textId="4F21ED2D" w:rsidR="00BE3C57" w:rsidRPr="00042728" w:rsidRDefault="4098B592" w:rsidP="00AEC026">
      <w:pPr>
        <w:pStyle w:val="ListParagraph"/>
        <w:numPr>
          <w:ilvl w:val="0"/>
          <w:numId w:val="4"/>
        </w:numPr>
        <w:spacing w:after="280"/>
        <w:ind w:left="426"/>
        <w:rPr>
          <w:rFonts w:asciiTheme="minorHAnsi" w:hAnsiTheme="minorHAnsi" w:cstheme="minorBidi"/>
          <w:sz w:val="28"/>
          <w:szCs w:val="28"/>
        </w:rPr>
      </w:pPr>
      <w:r w:rsidRPr="00AEC026">
        <w:rPr>
          <w:rFonts w:asciiTheme="minorHAnsi" w:hAnsiTheme="minorHAnsi" w:cstheme="minorBidi"/>
          <w:sz w:val="28"/>
          <w:szCs w:val="28"/>
        </w:rPr>
        <w:t>As acknowledged in the NHS LTWP, planning for the long-term is not an exact science because modelling is based on key assumptions that are true at the time, such as demand, productivity, retention and investment. There are multiple interdependencies that could impact the ability to deliver on key objectives. This</w:t>
      </w:r>
      <w:r w:rsidR="32C766F1" w:rsidRPr="00AEC026">
        <w:rPr>
          <w:rFonts w:asciiTheme="minorHAnsi" w:hAnsiTheme="minorHAnsi" w:cstheme="minorBidi"/>
          <w:sz w:val="28"/>
          <w:szCs w:val="28"/>
        </w:rPr>
        <w:t xml:space="preserve"> programme</w:t>
      </w:r>
      <w:r w:rsidRPr="00AEC026">
        <w:rPr>
          <w:rFonts w:asciiTheme="minorHAnsi" w:hAnsiTheme="minorHAnsi" w:cstheme="minorBidi"/>
          <w:sz w:val="28"/>
          <w:szCs w:val="28"/>
        </w:rPr>
        <w:t xml:space="preserve"> will be reviewed in line with NHS LTWP reviews and updated where necessary.</w:t>
      </w:r>
    </w:p>
    <w:p w14:paraId="18B220E3" w14:textId="76B1B2A5" w:rsidR="00BE3C57" w:rsidRPr="00042728" w:rsidRDefault="00BE3C57" w:rsidP="00042728">
      <w:pPr>
        <w:pStyle w:val="Heading2"/>
        <w:numPr>
          <w:ilvl w:val="0"/>
          <w:numId w:val="11"/>
        </w:numPr>
        <w:ind w:left="284" w:hanging="284"/>
        <w:rPr>
          <w:color w:val="005EB8" w:themeColor="text2"/>
          <w:sz w:val="26"/>
          <w:szCs w:val="18"/>
        </w:rPr>
      </w:pPr>
      <w:r>
        <w:br w:type="page"/>
      </w:r>
      <w:bookmarkStart w:id="9" w:name="_Toc149038771"/>
      <w:bookmarkStart w:id="10" w:name="_Toc164757281"/>
      <w:r w:rsidRPr="00A424DC">
        <w:lastRenderedPageBreak/>
        <w:t>THE CASE FOR CHANGE</w:t>
      </w:r>
      <w:bookmarkEnd w:id="9"/>
      <w:bookmarkEnd w:id="10"/>
    </w:p>
    <w:p w14:paraId="04A46402" w14:textId="77777777" w:rsidR="00BE3C57" w:rsidRPr="00042728" w:rsidRDefault="00BE3C57" w:rsidP="00042728">
      <w:pPr>
        <w:pStyle w:val="NoSpacing"/>
        <w:numPr>
          <w:ilvl w:val="0"/>
          <w:numId w:val="5"/>
        </w:numPr>
        <w:spacing w:after="280" w:line="360" w:lineRule="atLeast"/>
        <w:ind w:left="426" w:hanging="357"/>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Pharmacy technicians are a relatively newly registered healthcare profession who are regulated by the General Pharmaceutical Council (</w:t>
      </w:r>
      <w:proofErr w:type="spellStart"/>
      <w:r w:rsidRPr="00042728">
        <w:rPr>
          <w:rFonts w:eastAsia="Times New Roman" w:cstheme="minorHAnsi"/>
          <w:color w:val="231F20" w:themeColor="background1"/>
          <w:sz w:val="28"/>
          <w:szCs w:val="28"/>
        </w:rPr>
        <w:t>GPhC</w:t>
      </w:r>
      <w:proofErr w:type="spellEnd"/>
      <w:r w:rsidRPr="00042728">
        <w:rPr>
          <w:rFonts w:eastAsia="Times New Roman" w:cstheme="minorHAnsi"/>
          <w:color w:val="231F20" w:themeColor="background1"/>
          <w:sz w:val="28"/>
          <w:szCs w:val="28"/>
        </w:rPr>
        <w:t xml:space="preserve">). They work to the same professional standards as pharmacists and are valuable members of the multi-professional team, yet they are often under-utilised. </w:t>
      </w:r>
    </w:p>
    <w:p w14:paraId="319D5567" w14:textId="77777777" w:rsidR="00BE3C57" w:rsidRPr="00042728" w:rsidRDefault="00BE3C57" w:rsidP="00042728">
      <w:pPr>
        <w:pStyle w:val="NoSpacing"/>
        <w:numPr>
          <w:ilvl w:val="0"/>
          <w:numId w:val="5"/>
        </w:numPr>
        <w:spacing w:after="280" w:line="360" w:lineRule="atLeast"/>
        <w:ind w:left="426" w:hanging="357"/>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Pharmacy technicians’ initial education and training comprises a two-year programme, focused on medicines, in a patient-facing setting.  Their knowledge, skills and expertise provide the basis for them to be able to deliver a wider range of clinical services, for which they are accountable.</w:t>
      </w:r>
    </w:p>
    <w:p w14:paraId="7BE21E7D" w14:textId="77777777" w:rsidR="00BE3C57" w:rsidRPr="00042728" w:rsidRDefault="00BE3C57" w:rsidP="00042728">
      <w:pPr>
        <w:pStyle w:val="NoSpacing"/>
        <w:numPr>
          <w:ilvl w:val="0"/>
          <w:numId w:val="5"/>
        </w:numPr>
        <w:spacing w:after="280" w:line="360" w:lineRule="atLeast"/>
        <w:ind w:left="426" w:hanging="357"/>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The demand for healthcare services is growing, exacerbated by the impact of the COVID-19 pandemic, and there are workforce challenges across all professions, so further skill mix optimisation is required.</w:t>
      </w:r>
    </w:p>
    <w:p w14:paraId="2CB8ABF4" w14:textId="77777777" w:rsidR="00BE3C57" w:rsidRPr="00042728" w:rsidRDefault="00BE3C57" w:rsidP="00042728">
      <w:pPr>
        <w:pStyle w:val="NoSpacing"/>
        <w:numPr>
          <w:ilvl w:val="0"/>
          <w:numId w:val="5"/>
        </w:numPr>
        <w:spacing w:after="280" w:line="360" w:lineRule="atLeast"/>
        <w:ind w:left="426" w:hanging="357"/>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Initial education and training reforms for pharmacists will lead to them becoming independent prescribers at the point of registration from 2026, and for them to utilise their prescribing skills there will be a need to modernise pharmacy technician careers so that they are upskilled to take on a broader range of tasks.</w:t>
      </w:r>
    </w:p>
    <w:p w14:paraId="43A983EF" w14:textId="77777777" w:rsidR="00BE3C57" w:rsidRPr="00042728" w:rsidRDefault="00BE3C57" w:rsidP="00042728">
      <w:pPr>
        <w:pStyle w:val="NoSpacing"/>
        <w:numPr>
          <w:ilvl w:val="0"/>
          <w:numId w:val="5"/>
        </w:numPr>
        <w:spacing w:after="280" w:line="360" w:lineRule="atLeast"/>
        <w:ind w:left="426" w:hanging="357"/>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There are 21,273 registered pharmacy technicians in England (June 2023), up from 19,281 at the end of June 2016. However, whilst numbers have increased overall, we have seen a decline of nearly 17% in Community Pharmacy (from 7,768 pharmacy technicians in 2021 to 6,544 in 2022)</w:t>
      </w:r>
      <w:r w:rsidRPr="00042728">
        <w:rPr>
          <w:rFonts w:eastAsia="Times New Roman" w:cstheme="minorHAnsi"/>
          <w:color w:val="231F20" w:themeColor="background1"/>
          <w:sz w:val="28"/>
          <w:szCs w:val="28"/>
          <w:vertAlign w:val="superscript"/>
          <w:lang w:val="en-US"/>
        </w:rPr>
        <w:t>3</w:t>
      </w:r>
      <w:r w:rsidRPr="00042728">
        <w:rPr>
          <w:rFonts w:eastAsia="Times New Roman" w:cstheme="minorHAnsi"/>
          <w:color w:val="231F20" w:themeColor="background1"/>
          <w:sz w:val="28"/>
          <w:szCs w:val="28"/>
        </w:rPr>
        <w:t xml:space="preserve">. We now have approximately 0.55 pharmacy technicians per community pharmacy. </w:t>
      </w:r>
    </w:p>
    <w:p w14:paraId="59374EED" w14:textId="77777777" w:rsidR="00BE3C57" w:rsidRPr="00042728" w:rsidRDefault="00BE3C57" w:rsidP="00042728">
      <w:pPr>
        <w:pStyle w:val="NoSpacing"/>
        <w:numPr>
          <w:ilvl w:val="0"/>
          <w:numId w:val="5"/>
        </w:numPr>
        <w:spacing w:after="280" w:line="360" w:lineRule="atLeast"/>
        <w:ind w:left="426" w:hanging="357"/>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 xml:space="preserve">Pharmacy technicians undertake two years of focused initial education and training (IET) in clinical settings and can provide clinical services appropriate to their level of training, at the point of registration. This two-year training pathway is an opportunity to grow the number of healthcare professionals, to meet the healthcare needs of our population, relatively quickly. Post-registration pharmacy technicians can build on their IET by undertaking training and development to reach master’s level and provide further services dependent on the workforce needs of the future NHS. </w:t>
      </w:r>
    </w:p>
    <w:p w14:paraId="39DBB18A" w14:textId="77777777" w:rsidR="00BE3C57" w:rsidRPr="00042728" w:rsidRDefault="00BE3C57" w:rsidP="00042728">
      <w:pPr>
        <w:pStyle w:val="NoSpacing"/>
        <w:numPr>
          <w:ilvl w:val="0"/>
          <w:numId w:val="5"/>
        </w:numPr>
        <w:spacing w:after="280" w:line="360" w:lineRule="atLeast"/>
        <w:ind w:left="426" w:hanging="357"/>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 xml:space="preserve">We recognise that there has been minimal investment in pharmacy technician training in community pharmacy to date, and we are currently </w:t>
      </w:r>
      <w:r w:rsidRPr="00042728">
        <w:rPr>
          <w:rFonts w:eastAsia="Times New Roman" w:cstheme="minorHAnsi"/>
          <w:color w:val="231F20" w:themeColor="background1"/>
          <w:sz w:val="28"/>
          <w:szCs w:val="28"/>
        </w:rPr>
        <w:lastRenderedPageBreak/>
        <w:t>exploring increasing the number of pharmacy technician training places (via apprenticeships in community pharmacy and primary care) over the next five years.</w:t>
      </w:r>
    </w:p>
    <w:p w14:paraId="3C36D400" w14:textId="77777777" w:rsidR="00BE3C57" w:rsidRPr="00042728" w:rsidRDefault="00BE3C57" w:rsidP="00042728">
      <w:pPr>
        <w:pStyle w:val="NoSpacing"/>
        <w:numPr>
          <w:ilvl w:val="0"/>
          <w:numId w:val="5"/>
        </w:numPr>
        <w:spacing w:after="280" w:line="360" w:lineRule="atLeast"/>
        <w:ind w:left="426" w:hanging="357"/>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The traditional NHS model has focused on responding to episodic health and care needs, rather than prevention and ongoing support. The direction of travel is moving toward addressing population health needs, which requires more healthcare professionals to have generalist skills to meet the increasingly complex health needs that people have in their everyday lives. Pharmacy technicians are accessible practitioners who can support improved patient outcomes through service provision.</w:t>
      </w:r>
    </w:p>
    <w:p w14:paraId="1E6FC7D0" w14:textId="77777777" w:rsidR="00BE3C57" w:rsidRPr="00042728" w:rsidRDefault="00BE3C57" w:rsidP="00042728">
      <w:pPr>
        <w:pStyle w:val="NoSpacing"/>
        <w:numPr>
          <w:ilvl w:val="0"/>
          <w:numId w:val="5"/>
        </w:numPr>
        <w:spacing w:after="280" w:line="360" w:lineRule="atLeast"/>
        <w:ind w:left="426" w:hanging="357"/>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Scaling of NHS care delivered in the community requires rapid workforce expansion and the development of more flexible, integrated teams. The Delivery Plan for Recovering Access to Primary Care</w:t>
      </w:r>
      <w:r w:rsidRPr="00042728">
        <w:rPr>
          <w:rFonts w:eastAsia="Times New Roman" w:cstheme="minorHAnsi"/>
          <w:color w:val="231F20" w:themeColor="background1"/>
          <w:sz w:val="28"/>
          <w:szCs w:val="28"/>
          <w:vertAlign w:val="superscript"/>
        </w:rPr>
        <w:t>2</w:t>
      </w:r>
      <w:r w:rsidRPr="00042728">
        <w:rPr>
          <w:rFonts w:eastAsia="Times New Roman" w:cstheme="minorHAnsi"/>
          <w:color w:val="231F20" w:themeColor="background1"/>
          <w:sz w:val="28"/>
          <w:szCs w:val="28"/>
        </w:rPr>
        <w:t xml:space="preserve"> specifically refers to expansion of community pharmacy services to free up appointments in general practice, e.g., oral contraception and blood pressure services. </w:t>
      </w:r>
    </w:p>
    <w:p w14:paraId="70626866" w14:textId="2A88C7AE" w:rsidR="00BE3C57" w:rsidRPr="00042728" w:rsidRDefault="4098B592" w:rsidP="00AEC026">
      <w:pPr>
        <w:pStyle w:val="NoSpacing"/>
        <w:numPr>
          <w:ilvl w:val="0"/>
          <w:numId w:val="5"/>
        </w:numPr>
        <w:spacing w:after="280" w:line="360" w:lineRule="atLeast"/>
        <w:ind w:left="426" w:hanging="357"/>
        <w:rPr>
          <w:rFonts w:ascii="Arial" w:eastAsia="Arial" w:hAnsi="Arial" w:cs="Arial"/>
          <w:color w:val="231F20" w:themeColor="background1"/>
          <w:sz w:val="28"/>
          <w:szCs w:val="28"/>
        </w:rPr>
      </w:pPr>
      <w:r w:rsidRPr="00AEC026">
        <w:rPr>
          <w:rFonts w:eastAsia="Times New Roman"/>
          <w:color w:val="231F20" w:themeColor="background1"/>
          <w:sz w:val="28"/>
          <w:szCs w:val="28"/>
        </w:rPr>
        <w:t xml:space="preserve">Current legislative reviews encompass pharmacy technician practice. In September 2023, the Secretary of State for Health has Department of Health and Social Care (DHSC) sought views on the proposal for the use of patient group directions (PGDs) by pharmacy technicians via public consultation. </w:t>
      </w:r>
      <w:r w:rsidR="1AB7E2AD" w:rsidRPr="00AEC026">
        <w:rPr>
          <w:rFonts w:eastAsia="Times New Roman"/>
          <w:color w:val="231F20" w:themeColor="background1"/>
          <w:sz w:val="28"/>
          <w:szCs w:val="28"/>
        </w:rPr>
        <w:t>Following the consultation a</w:t>
      </w:r>
      <w:r w:rsidR="136CE151" w:rsidRPr="00AEC026">
        <w:rPr>
          <w:rFonts w:ascii="Arial" w:eastAsia="Arial" w:hAnsi="Arial" w:cs="Arial"/>
          <w:color w:val="231F20" w:themeColor="background1"/>
          <w:sz w:val="28"/>
          <w:szCs w:val="28"/>
        </w:rPr>
        <w:t>mendments to the Human Medicines Regulations 2012 (HMR 2012) took effect 26</w:t>
      </w:r>
      <w:r w:rsidR="136CE151" w:rsidRPr="00AEC026">
        <w:rPr>
          <w:rFonts w:ascii="Arial" w:eastAsia="Arial" w:hAnsi="Arial" w:cs="Arial"/>
          <w:color w:val="231F20" w:themeColor="background1"/>
          <w:sz w:val="28"/>
          <w:szCs w:val="28"/>
          <w:vertAlign w:val="superscript"/>
        </w:rPr>
        <w:t>th</w:t>
      </w:r>
      <w:r w:rsidR="136CE151" w:rsidRPr="00AEC026">
        <w:rPr>
          <w:rFonts w:ascii="Arial" w:eastAsia="Arial" w:hAnsi="Arial" w:cs="Arial"/>
          <w:color w:val="231F20" w:themeColor="background1"/>
          <w:sz w:val="28"/>
          <w:szCs w:val="28"/>
        </w:rPr>
        <w:t xml:space="preserve"> June 2024 which enable</w:t>
      </w:r>
      <w:r w:rsidR="071DE275" w:rsidRPr="00AEC026">
        <w:rPr>
          <w:rFonts w:ascii="Arial" w:eastAsia="Arial" w:hAnsi="Arial" w:cs="Arial"/>
          <w:color w:val="231F20" w:themeColor="background1"/>
          <w:sz w:val="28"/>
          <w:szCs w:val="28"/>
        </w:rPr>
        <w:t>s</w:t>
      </w:r>
      <w:r w:rsidR="136CE151" w:rsidRPr="00AEC026">
        <w:rPr>
          <w:rFonts w:ascii="Arial" w:eastAsia="Arial" w:hAnsi="Arial" w:cs="Arial"/>
          <w:color w:val="231F20" w:themeColor="background1"/>
          <w:sz w:val="28"/>
          <w:szCs w:val="28"/>
        </w:rPr>
        <w:t xml:space="preserve"> registered pharmacy technicians to legally supply and administer certain medicines under patient group directions (PGDs).</w:t>
      </w:r>
    </w:p>
    <w:p w14:paraId="415138CD" w14:textId="769B08E1" w:rsidR="00BE3C57" w:rsidRPr="00042728" w:rsidRDefault="1E25A863" w:rsidP="00AEC026">
      <w:pPr>
        <w:pStyle w:val="NoSpacing"/>
        <w:numPr>
          <w:ilvl w:val="0"/>
          <w:numId w:val="5"/>
        </w:numPr>
        <w:spacing w:after="280" w:line="360" w:lineRule="atLeast"/>
        <w:ind w:left="426" w:hanging="357"/>
        <w:rPr>
          <w:rFonts w:eastAsia="Times New Roman"/>
          <w:color w:val="231F20" w:themeColor="background1"/>
          <w:sz w:val="28"/>
          <w:szCs w:val="28"/>
        </w:rPr>
      </w:pPr>
      <w:r w:rsidRPr="00AEC026">
        <w:rPr>
          <w:rFonts w:eastAsia="Times New Roman"/>
          <w:color w:val="231F20" w:themeColor="background1"/>
          <w:sz w:val="28"/>
          <w:szCs w:val="28"/>
        </w:rPr>
        <w:t xml:space="preserve">A </w:t>
      </w:r>
      <w:r w:rsidR="4098B592" w:rsidRPr="00AEC026">
        <w:rPr>
          <w:rFonts w:eastAsia="Times New Roman"/>
          <w:color w:val="231F20" w:themeColor="background1"/>
          <w:sz w:val="28"/>
          <w:szCs w:val="28"/>
        </w:rPr>
        <w:t>consultation on ‘Supervision’ as defined in the Medicines Act</w:t>
      </w:r>
      <w:r w:rsidR="1AD28394" w:rsidRPr="00AEC026">
        <w:rPr>
          <w:rFonts w:eastAsia="Times New Roman"/>
          <w:color w:val="231F20" w:themeColor="background1"/>
          <w:sz w:val="28"/>
          <w:szCs w:val="28"/>
        </w:rPr>
        <w:t xml:space="preserve"> has</w:t>
      </w:r>
      <w:r w:rsidR="4098B592" w:rsidRPr="00AEC026">
        <w:rPr>
          <w:rFonts w:eastAsia="Times New Roman"/>
          <w:color w:val="231F20" w:themeColor="background1"/>
          <w:sz w:val="28"/>
          <w:szCs w:val="28"/>
        </w:rPr>
        <w:t xml:space="preserve"> also</w:t>
      </w:r>
      <w:r w:rsidR="086BD41A" w:rsidRPr="00AEC026">
        <w:rPr>
          <w:rFonts w:eastAsia="Times New Roman"/>
          <w:color w:val="231F20" w:themeColor="background1"/>
          <w:sz w:val="28"/>
          <w:szCs w:val="28"/>
        </w:rPr>
        <w:t xml:space="preserve"> occurred and the outcome is awaited</w:t>
      </w:r>
      <w:r w:rsidR="4098B592" w:rsidRPr="00AEC026">
        <w:rPr>
          <w:rFonts w:eastAsia="Times New Roman"/>
          <w:color w:val="231F20" w:themeColor="background1"/>
          <w:sz w:val="28"/>
          <w:szCs w:val="28"/>
        </w:rPr>
        <w:t>. Any subsequent amendments to legislation are likely to drive change that will transform the pharmacy technician profession.</w:t>
      </w:r>
    </w:p>
    <w:p w14:paraId="63FCD9D3" w14:textId="77777777" w:rsidR="00BE3C57" w:rsidRPr="00042728" w:rsidRDefault="00BE3C57" w:rsidP="00042728">
      <w:pPr>
        <w:pStyle w:val="NoSpacing"/>
        <w:numPr>
          <w:ilvl w:val="0"/>
          <w:numId w:val="5"/>
        </w:numPr>
        <w:spacing w:after="280" w:line="360" w:lineRule="atLeast"/>
        <w:ind w:left="426" w:hanging="357"/>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Advancements in digital technology, automation, genomics and artificial intelligence will support capacity to deliver NHS services, in new and different ways. To maximise the potential benefits, pharmacy technicians will be required to develop their skills and become more digitally literate.</w:t>
      </w:r>
    </w:p>
    <w:p w14:paraId="763D6D2F" w14:textId="77777777" w:rsidR="00BE3C57" w:rsidRPr="00042728" w:rsidRDefault="00BE3C57" w:rsidP="00042728">
      <w:pPr>
        <w:pStyle w:val="NoSpacing"/>
        <w:numPr>
          <w:ilvl w:val="0"/>
          <w:numId w:val="5"/>
        </w:numPr>
        <w:spacing w:after="280" w:line="360" w:lineRule="atLeast"/>
        <w:ind w:left="426" w:hanging="357"/>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 xml:space="preserve">The pharmacy technician workforce in England is comprised predominantly White British females, between the ages of 25 – 55 years. To be effective we should reflect the communities we serve because a workforce that is </w:t>
      </w:r>
      <w:r w:rsidRPr="00042728">
        <w:rPr>
          <w:rFonts w:eastAsia="Times New Roman" w:cstheme="minorHAnsi"/>
          <w:color w:val="231F20" w:themeColor="background1"/>
          <w:sz w:val="28"/>
          <w:szCs w:val="28"/>
        </w:rPr>
        <w:lastRenderedPageBreak/>
        <w:t xml:space="preserve">representative of its local population supports better health outcomes and improves patient experience. </w:t>
      </w:r>
    </w:p>
    <w:p w14:paraId="6B8762A0" w14:textId="2F0A3A5A" w:rsidR="00BE3C57" w:rsidRPr="00042728" w:rsidRDefault="00BE3C57" w:rsidP="00042728">
      <w:pPr>
        <w:pStyle w:val="NoSpacing"/>
        <w:numPr>
          <w:ilvl w:val="0"/>
          <w:numId w:val="5"/>
        </w:numPr>
        <w:spacing w:after="280" w:line="360" w:lineRule="atLeast"/>
        <w:ind w:left="709" w:hanging="357"/>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We know from Workforce Race Equality Standard (WRES) data</w:t>
      </w:r>
      <w:r w:rsidRPr="00042728">
        <w:rPr>
          <w:rFonts w:eastAsia="Times New Roman" w:cstheme="minorHAnsi"/>
          <w:color w:val="231F20" w:themeColor="background1"/>
          <w:sz w:val="28"/>
          <w:szCs w:val="28"/>
          <w:vertAlign w:val="superscript"/>
        </w:rPr>
        <w:t>4</w:t>
      </w:r>
      <w:r w:rsidRPr="00042728">
        <w:rPr>
          <w:rFonts w:eastAsia="Times New Roman" w:cstheme="minorHAnsi"/>
          <w:color w:val="231F20" w:themeColor="background1"/>
          <w:sz w:val="28"/>
          <w:szCs w:val="28"/>
        </w:rPr>
        <w:t xml:space="preserve"> that staff from an ethnic minority background have a poorer experience of NHS recruitment processes than their white colleagues. This is also the case for staff with disabilities, as shown in the Workforce Disability Equality Standard (WDES) data</w:t>
      </w:r>
      <w:r w:rsidRPr="00042728">
        <w:rPr>
          <w:rFonts w:eastAsia="Times New Roman" w:cstheme="minorHAnsi"/>
          <w:color w:val="231F20" w:themeColor="background1"/>
          <w:sz w:val="28"/>
          <w:szCs w:val="28"/>
          <w:vertAlign w:val="superscript"/>
        </w:rPr>
        <w:t>5</w:t>
      </w:r>
      <w:r w:rsidRPr="00042728">
        <w:rPr>
          <w:rFonts w:eastAsia="Times New Roman" w:cstheme="minorHAnsi"/>
          <w:color w:val="231F20" w:themeColor="background1"/>
          <w:sz w:val="28"/>
          <w:szCs w:val="28"/>
        </w:rPr>
        <w:t>.</w:t>
      </w:r>
    </w:p>
    <w:p w14:paraId="43DF94B4" w14:textId="77777777" w:rsidR="00BE3C57" w:rsidRPr="00A424DC" w:rsidRDefault="00BE3C57" w:rsidP="00042728">
      <w:pPr>
        <w:pStyle w:val="Heading2"/>
        <w:numPr>
          <w:ilvl w:val="0"/>
          <w:numId w:val="11"/>
        </w:numPr>
        <w:ind w:left="284" w:hanging="284"/>
      </w:pPr>
      <w:bookmarkStart w:id="11" w:name="_Toc149038772"/>
      <w:bookmarkStart w:id="12" w:name="_Toc164757282"/>
      <w:r w:rsidRPr="00A424DC">
        <w:t>POLICY DRIVERS</w:t>
      </w:r>
      <w:bookmarkEnd w:id="11"/>
      <w:bookmarkEnd w:id="12"/>
    </w:p>
    <w:p w14:paraId="73588B8A" w14:textId="77777777" w:rsidR="00BE3C57" w:rsidRPr="00042728" w:rsidRDefault="00BE3C57" w:rsidP="00042728">
      <w:pPr>
        <w:pStyle w:val="NoSpacing"/>
        <w:spacing w:after="280" w:line="360" w:lineRule="atLeast"/>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There are several policies and national initiatives that act as strategic enablers for development of the pharmacy technician workforce. Key drivers are outlined below.</w:t>
      </w:r>
    </w:p>
    <w:p w14:paraId="26EE1848" w14:textId="77777777" w:rsidR="00BE3C57" w:rsidRPr="00042728" w:rsidRDefault="00BE3C57" w:rsidP="00042728">
      <w:pPr>
        <w:pStyle w:val="NoSpacing"/>
        <w:numPr>
          <w:ilvl w:val="0"/>
          <w:numId w:val="5"/>
        </w:numPr>
        <w:spacing w:after="280" w:line="360" w:lineRule="atLeast"/>
        <w:ind w:left="426"/>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Delivery plan for recovering access to primary care ambitions to expand the oral contraception and blood pressure services in community pharmacy, coupled with HMRC’s confirmation that services provided by pharmacy technicians are exempt from VAT.</w:t>
      </w:r>
    </w:p>
    <w:p w14:paraId="17265268" w14:textId="77777777" w:rsidR="00BE3C57" w:rsidRPr="00042728" w:rsidRDefault="00BE3C57" w:rsidP="00042728">
      <w:pPr>
        <w:pStyle w:val="NoSpacing"/>
        <w:numPr>
          <w:ilvl w:val="0"/>
          <w:numId w:val="5"/>
        </w:numPr>
        <w:spacing w:after="280" w:line="360" w:lineRule="atLeast"/>
        <w:ind w:left="426"/>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NHS England pathfinder projects: piloting innovative new services and the potential for new roles for the whole pharmacy team.</w:t>
      </w:r>
    </w:p>
    <w:p w14:paraId="343427DD" w14:textId="77777777" w:rsidR="00BE3C57" w:rsidRPr="00042728" w:rsidRDefault="00BE3C57" w:rsidP="00042728">
      <w:pPr>
        <w:pStyle w:val="NoSpacing"/>
        <w:numPr>
          <w:ilvl w:val="0"/>
          <w:numId w:val="5"/>
        </w:numPr>
        <w:spacing w:after="280" w:line="360" w:lineRule="atLeast"/>
        <w:ind w:left="426"/>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Integrated Care Boards as commissioners - future workforce needs will be based on system priorities​, according to local population health needs.</w:t>
      </w:r>
    </w:p>
    <w:p w14:paraId="4FEA1915" w14:textId="77777777" w:rsidR="00BE3C57" w:rsidRPr="00042728" w:rsidRDefault="00BE3C57" w:rsidP="00042728">
      <w:pPr>
        <w:pStyle w:val="NoSpacing"/>
        <w:numPr>
          <w:ilvl w:val="0"/>
          <w:numId w:val="5"/>
        </w:numPr>
        <w:spacing w:after="280" w:line="360" w:lineRule="atLeast"/>
        <w:ind w:left="426"/>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Department of Health and Social Care (DHSC) and ministerial support to grow the pharmacy technician workforce year-on-year over the next five years in recognition of the benefits that could be realised by this group of registered healthcare professionals.</w:t>
      </w:r>
    </w:p>
    <w:p w14:paraId="62D125A0" w14:textId="77777777" w:rsidR="00BE3C57" w:rsidRPr="00042728" w:rsidRDefault="00BE3C57" w:rsidP="00042728">
      <w:pPr>
        <w:pStyle w:val="NoSpacing"/>
        <w:numPr>
          <w:ilvl w:val="0"/>
          <w:numId w:val="5"/>
        </w:numPr>
        <w:spacing w:after="280" w:line="360" w:lineRule="atLeast"/>
        <w:ind w:left="426"/>
        <w:rPr>
          <w:rFonts w:eastAsia="Times New Roman" w:cstheme="minorHAnsi"/>
          <w:color w:val="231F20" w:themeColor="background1"/>
          <w:sz w:val="28"/>
          <w:szCs w:val="28"/>
        </w:rPr>
      </w:pPr>
      <w:r w:rsidRPr="00042728">
        <w:rPr>
          <w:rFonts w:eastAsia="Times New Roman" w:cstheme="minorHAnsi"/>
          <w:color w:val="231F20" w:themeColor="background1"/>
          <w:sz w:val="28"/>
          <w:szCs w:val="28"/>
        </w:rPr>
        <w:t>Review of legislation​</w:t>
      </w:r>
    </w:p>
    <w:p w14:paraId="0C9D53A7" w14:textId="77777777" w:rsidR="00BE3C57" w:rsidRPr="00042728" w:rsidRDefault="00BE3C57" w:rsidP="00042728">
      <w:pPr>
        <w:numPr>
          <w:ilvl w:val="0"/>
          <w:numId w:val="7"/>
        </w:numPr>
        <w:rPr>
          <w:rFonts w:asciiTheme="minorHAnsi" w:hAnsiTheme="minorHAnsi" w:cstheme="minorHAnsi"/>
          <w:color w:val="231F20" w:themeColor="background1"/>
          <w:sz w:val="28"/>
          <w:szCs w:val="28"/>
        </w:rPr>
      </w:pPr>
      <w:r w:rsidRPr="00042728">
        <w:rPr>
          <w:rFonts w:asciiTheme="minorHAnsi" w:hAnsiTheme="minorHAnsi" w:cstheme="minorHAnsi"/>
          <w:color w:val="231F20" w:themeColor="background1"/>
          <w:sz w:val="28"/>
          <w:szCs w:val="28"/>
        </w:rPr>
        <w:t>A consultation on the proposal for the use of patient group directions (PGDs) by pharmacy technicians was completed in September 2023.</w:t>
      </w:r>
    </w:p>
    <w:p w14:paraId="52DA2A0C" w14:textId="761FEC74" w:rsidR="4098B592" w:rsidRDefault="4098B592" w:rsidP="00AEC026">
      <w:pPr>
        <w:numPr>
          <w:ilvl w:val="0"/>
          <w:numId w:val="7"/>
        </w:numPr>
        <w:rPr>
          <w:rFonts w:asciiTheme="minorHAnsi" w:hAnsiTheme="minorHAnsi" w:cstheme="minorBidi"/>
          <w:color w:val="231F20" w:themeColor="background1"/>
          <w:sz w:val="28"/>
          <w:szCs w:val="28"/>
        </w:rPr>
      </w:pPr>
      <w:r w:rsidRPr="00AEC026">
        <w:rPr>
          <w:rFonts w:asciiTheme="minorHAnsi" w:hAnsiTheme="minorHAnsi" w:cstheme="minorBidi"/>
          <w:color w:val="231F20" w:themeColor="background1"/>
          <w:sz w:val="28"/>
          <w:szCs w:val="28"/>
        </w:rPr>
        <w:t>A consultation on ‘Supervision’ as defined in the Medicines Act</w:t>
      </w:r>
      <w:r w:rsidR="76ECD4CA" w:rsidRPr="00AEC026">
        <w:rPr>
          <w:rFonts w:asciiTheme="minorHAnsi" w:hAnsiTheme="minorHAnsi" w:cstheme="minorBidi"/>
          <w:color w:val="231F20" w:themeColor="background1"/>
          <w:sz w:val="28"/>
          <w:szCs w:val="28"/>
        </w:rPr>
        <w:t xml:space="preserve"> has also been completed.</w:t>
      </w:r>
    </w:p>
    <w:p w14:paraId="0E6C2061" w14:textId="77777777" w:rsidR="00BE3C57" w:rsidRPr="00042728" w:rsidRDefault="00BE3C57" w:rsidP="00042728">
      <w:pPr>
        <w:pStyle w:val="ListParagraph"/>
        <w:numPr>
          <w:ilvl w:val="0"/>
          <w:numId w:val="9"/>
        </w:numPr>
        <w:spacing w:after="280"/>
        <w:rPr>
          <w:rFonts w:asciiTheme="minorHAnsi" w:hAnsiTheme="minorHAnsi" w:cstheme="minorHAnsi"/>
          <w:color w:val="231F20" w:themeColor="background1"/>
          <w:sz w:val="28"/>
          <w:szCs w:val="28"/>
        </w:rPr>
      </w:pPr>
      <w:r w:rsidRPr="00042728">
        <w:rPr>
          <w:rFonts w:asciiTheme="minorHAnsi" w:hAnsiTheme="minorHAnsi" w:cstheme="minorHAnsi"/>
          <w:color w:val="231F20" w:themeColor="background1"/>
          <w:sz w:val="28"/>
          <w:szCs w:val="28"/>
        </w:rPr>
        <w:t xml:space="preserve">Future reform of the initial education and training requirements for pharmacy technicians by the </w:t>
      </w:r>
      <w:proofErr w:type="spellStart"/>
      <w:r w:rsidRPr="00042728">
        <w:rPr>
          <w:rFonts w:asciiTheme="minorHAnsi" w:hAnsiTheme="minorHAnsi" w:cstheme="minorHAnsi"/>
          <w:color w:val="231F20" w:themeColor="background1"/>
          <w:sz w:val="28"/>
          <w:szCs w:val="28"/>
        </w:rPr>
        <w:t>GPhC</w:t>
      </w:r>
      <w:proofErr w:type="spellEnd"/>
      <w:r w:rsidRPr="00042728">
        <w:rPr>
          <w:rFonts w:asciiTheme="minorHAnsi" w:hAnsiTheme="minorHAnsi" w:cstheme="minorHAnsi"/>
          <w:color w:val="231F20" w:themeColor="background1"/>
          <w:sz w:val="28"/>
          <w:szCs w:val="28"/>
        </w:rPr>
        <w:t>.</w:t>
      </w:r>
    </w:p>
    <w:p w14:paraId="6522F42A" w14:textId="77777777" w:rsidR="00BE3C57" w:rsidRPr="00042728" w:rsidRDefault="00BE3C57" w:rsidP="00042728">
      <w:pPr>
        <w:numPr>
          <w:ilvl w:val="0"/>
          <w:numId w:val="9"/>
        </w:numPr>
        <w:rPr>
          <w:rFonts w:asciiTheme="minorHAnsi" w:hAnsiTheme="minorHAnsi" w:cstheme="minorHAnsi"/>
          <w:color w:val="231F20" w:themeColor="background1"/>
          <w:sz w:val="28"/>
          <w:szCs w:val="28"/>
        </w:rPr>
      </w:pPr>
      <w:r w:rsidRPr="00042728">
        <w:rPr>
          <w:rFonts w:asciiTheme="minorHAnsi" w:hAnsiTheme="minorHAnsi" w:cstheme="minorHAnsi"/>
          <w:color w:val="231F20" w:themeColor="background1"/>
          <w:sz w:val="28"/>
          <w:szCs w:val="28"/>
        </w:rPr>
        <w:lastRenderedPageBreak/>
        <w:t>UK Commission on Pharmacy Professional Leadership Report​</w:t>
      </w:r>
    </w:p>
    <w:p w14:paraId="0EC76B57" w14:textId="6EE6CD81" w:rsidR="00BE3C57" w:rsidRPr="00042728" w:rsidRDefault="00BE3C57" w:rsidP="00042728">
      <w:pPr>
        <w:pStyle w:val="ListParagraph"/>
        <w:numPr>
          <w:ilvl w:val="0"/>
          <w:numId w:val="9"/>
        </w:numPr>
        <w:spacing w:after="280"/>
        <w:rPr>
          <w:rFonts w:asciiTheme="minorHAnsi" w:hAnsiTheme="minorHAnsi" w:cstheme="minorHAnsi"/>
          <w:color w:val="231F20" w:themeColor="background1"/>
          <w:sz w:val="28"/>
          <w:szCs w:val="28"/>
        </w:rPr>
      </w:pPr>
      <w:r w:rsidRPr="00042728">
        <w:rPr>
          <w:rFonts w:asciiTheme="minorHAnsi" w:hAnsiTheme="minorHAnsi" w:cstheme="minorHAnsi"/>
          <w:color w:val="231F20" w:themeColor="background1"/>
          <w:sz w:val="28"/>
          <w:szCs w:val="28"/>
        </w:rPr>
        <w:t xml:space="preserve">Inclusive Pharmacy Practice work and pharmacy technician demographic data collated by the </w:t>
      </w:r>
      <w:proofErr w:type="spellStart"/>
      <w:r w:rsidRPr="00042728">
        <w:rPr>
          <w:rFonts w:asciiTheme="minorHAnsi" w:hAnsiTheme="minorHAnsi" w:cstheme="minorHAnsi"/>
          <w:color w:val="231F20" w:themeColor="background1"/>
          <w:sz w:val="28"/>
          <w:szCs w:val="28"/>
        </w:rPr>
        <w:t>GPhC</w:t>
      </w:r>
      <w:proofErr w:type="spellEnd"/>
      <w:r w:rsidRPr="00042728">
        <w:rPr>
          <w:rFonts w:asciiTheme="minorHAnsi" w:hAnsiTheme="minorHAnsi" w:cstheme="minorHAnsi"/>
          <w:color w:val="231F20" w:themeColor="background1"/>
          <w:sz w:val="28"/>
          <w:szCs w:val="28"/>
        </w:rPr>
        <w:t xml:space="preserve"> indicate that attraction, recruitment and retention require focus to achieve equality, diversity and inclusion within the profession.</w:t>
      </w:r>
    </w:p>
    <w:p w14:paraId="52045C22" w14:textId="77777777" w:rsidR="00042728" w:rsidRDefault="00BE3C57" w:rsidP="00042728">
      <w:pPr>
        <w:pStyle w:val="Heading2"/>
        <w:numPr>
          <w:ilvl w:val="0"/>
          <w:numId w:val="11"/>
        </w:numPr>
        <w:ind w:left="284" w:hanging="284"/>
        <w:rPr>
          <w:lang w:val="en-US"/>
        </w:rPr>
      </w:pPr>
      <w:bookmarkStart w:id="13" w:name="_Toc164757283"/>
      <w:bookmarkStart w:id="14" w:name="_Toc149038773"/>
      <w:r>
        <w:rPr>
          <w:lang w:val="en-US"/>
        </w:rPr>
        <w:t>SUSTAINING THE WORKFORCE</w:t>
      </w:r>
      <w:r w:rsidRPr="00A86F6B">
        <w:rPr>
          <w:lang w:val="en-US"/>
        </w:rPr>
        <w:t xml:space="preserve">, </w:t>
      </w:r>
      <w:r>
        <w:rPr>
          <w:lang w:val="en-US"/>
        </w:rPr>
        <w:t>NOW AND IN THE FUTURE</w:t>
      </w:r>
      <w:bookmarkEnd w:id="13"/>
      <w:r>
        <w:rPr>
          <w:lang w:val="en-US"/>
        </w:rPr>
        <w:t xml:space="preserve"> </w:t>
      </w:r>
    </w:p>
    <w:p w14:paraId="136D92A5" w14:textId="764BB8FB" w:rsidR="00BE3C57" w:rsidRPr="00A86F6B" w:rsidRDefault="00BE3C57" w:rsidP="00042728">
      <w:pPr>
        <w:pStyle w:val="Heading2"/>
        <w:ind w:left="284"/>
        <w:rPr>
          <w:lang w:val="en-US"/>
        </w:rPr>
      </w:pPr>
      <w:bookmarkStart w:id="15" w:name="_Toc164757284"/>
      <w:r w:rsidRPr="00042728">
        <w:rPr>
          <w:rStyle w:val="h2numberedChar"/>
        </w:rPr>
        <w:t>Key priority areas</w:t>
      </w:r>
      <w:bookmarkEnd w:id="14"/>
      <w:bookmarkEnd w:id="15"/>
    </w:p>
    <w:p w14:paraId="6D9F7398" w14:textId="4C7B3BD7" w:rsidR="00BE3C57" w:rsidRPr="00042728" w:rsidRDefault="4098B592" w:rsidP="00AEC026">
      <w:pPr>
        <w:pStyle w:val="ListParagraph"/>
        <w:numPr>
          <w:ilvl w:val="0"/>
          <w:numId w:val="9"/>
        </w:numPr>
        <w:spacing w:after="280"/>
        <w:ind w:left="357" w:hanging="357"/>
        <w:rPr>
          <w:rFonts w:asciiTheme="minorHAnsi" w:hAnsiTheme="minorHAnsi" w:cstheme="minorBidi"/>
          <w:sz w:val="28"/>
          <w:szCs w:val="28"/>
        </w:rPr>
      </w:pPr>
      <w:r w:rsidRPr="00AEC026">
        <w:rPr>
          <w:rFonts w:asciiTheme="minorHAnsi" w:hAnsiTheme="minorHAnsi" w:cstheme="minorBidi"/>
          <w:sz w:val="28"/>
          <w:szCs w:val="28"/>
        </w:rPr>
        <w:t xml:space="preserve">An implementation plan will be developed, supported by investment, to realise the ambitions set out in this </w:t>
      </w:r>
      <w:r w:rsidR="32EF6DED" w:rsidRPr="00AEC026">
        <w:rPr>
          <w:rFonts w:asciiTheme="minorHAnsi" w:hAnsiTheme="minorHAnsi" w:cstheme="minorBidi"/>
          <w:sz w:val="28"/>
          <w:szCs w:val="28"/>
        </w:rPr>
        <w:t>programme</w:t>
      </w:r>
      <w:r w:rsidRPr="00AEC026">
        <w:rPr>
          <w:rFonts w:asciiTheme="minorHAnsi" w:hAnsiTheme="minorHAnsi" w:cstheme="minorBidi"/>
          <w:sz w:val="28"/>
          <w:szCs w:val="28"/>
        </w:rPr>
        <w:t xml:space="preserve">. Pharmacy technician recruitment, development and ways of working will continue to evolve to meet the needs of the communities that pharmacy technicians serve. The speed and scale of action are dependent on infrastructure, education funding, policy drivers and professional leadership. </w:t>
      </w:r>
    </w:p>
    <w:p w14:paraId="5B013689" w14:textId="7C37C21F" w:rsidR="00BE3C57" w:rsidRPr="00042728" w:rsidRDefault="00BE3C57" w:rsidP="00042728">
      <w:pPr>
        <w:pStyle w:val="ListParagraph"/>
        <w:numPr>
          <w:ilvl w:val="0"/>
          <w:numId w:val="9"/>
        </w:numPr>
        <w:spacing w:after="280"/>
        <w:ind w:left="357" w:hanging="357"/>
        <w:rPr>
          <w:rFonts w:asciiTheme="minorHAnsi" w:hAnsiTheme="minorHAnsi" w:cstheme="minorHAnsi"/>
          <w:sz w:val="28"/>
          <w:szCs w:val="28"/>
        </w:rPr>
      </w:pPr>
      <w:r w:rsidRPr="00042728">
        <w:rPr>
          <w:rFonts w:asciiTheme="minorHAnsi" w:hAnsiTheme="minorHAnsi" w:cstheme="minorHAnsi"/>
          <w:sz w:val="28"/>
          <w:szCs w:val="28"/>
        </w:rPr>
        <w:t>Scenarios suggests a shortfall between supply and demand of pharmacy technicians in all sectors, particularly community pharmacy, over the next five years. This is before considering the impact of an aging workforce, the rate of retention within the current workforce and external factors. To meet the demand, we will focus on three, key priority areas, with short and long-term goals.</w:t>
      </w:r>
    </w:p>
    <w:p w14:paraId="58960E38" w14:textId="77777777" w:rsidR="00BE3C57" w:rsidRPr="00042728" w:rsidRDefault="00BE3C57" w:rsidP="00042728">
      <w:pPr>
        <w:rPr>
          <w:rFonts w:asciiTheme="minorHAnsi" w:hAnsiTheme="minorHAnsi" w:cstheme="minorHAnsi"/>
          <w:b/>
          <w:bCs/>
          <w:color w:val="005EB8" w:themeColor="text2"/>
          <w:sz w:val="28"/>
          <w:szCs w:val="28"/>
        </w:rPr>
      </w:pPr>
      <w:r w:rsidRPr="00042728">
        <w:rPr>
          <w:rFonts w:asciiTheme="minorHAnsi" w:hAnsiTheme="minorHAnsi" w:cstheme="minorHAnsi"/>
          <w:b/>
          <w:bCs/>
          <w:color w:val="005EB8" w:themeColor="text2"/>
          <w:sz w:val="28"/>
          <w:szCs w:val="28"/>
        </w:rPr>
        <w:t>5.1 Train – Growing the workforce (Key priority area 1)</w:t>
      </w:r>
    </w:p>
    <w:p w14:paraId="0FAC5C21" w14:textId="77777777" w:rsidR="00BE3C57" w:rsidRPr="00042728" w:rsidRDefault="00BE3C57" w:rsidP="00042728">
      <w:pPr>
        <w:rPr>
          <w:rFonts w:asciiTheme="minorHAnsi" w:hAnsiTheme="minorHAnsi" w:cstheme="minorHAnsi"/>
          <w:b/>
          <w:bCs/>
          <w:color w:val="005EB8" w:themeColor="text2"/>
          <w:sz w:val="28"/>
          <w:szCs w:val="28"/>
        </w:rPr>
      </w:pPr>
      <w:r w:rsidRPr="00042728">
        <w:rPr>
          <w:rFonts w:asciiTheme="minorHAnsi" w:hAnsiTheme="minorHAnsi" w:cstheme="minorHAnsi"/>
          <w:b/>
          <w:bCs/>
          <w:color w:val="005EB8" w:themeColor="text2"/>
          <w:sz w:val="28"/>
          <w:szCs w:val="28"/>
        </w:rPr>
        <w:t xml:space="preserve">5.1.1 Apprenticeship expansion </w:t>
      </w:r>
    </w:p>
    <w:p w14:paraId="62571309" w14:textId="77777777" w:rsidR="00BE3C57" w:rsidRPr="00042728" w:rsidRDefault="00BE3C57" w:rsidP="00042728">
      <w:pPr>
        <w:rPr>
          <w:rFonts w:asciiTheme="minorHAnsi" w:hAnsiTheme="minorHAnsi" w:cstheme="minorHAnsi"/>
          <w:b/>
          <w:bCs/>
          <w:color w:val="005EB8" w:themeColor="text2"/>
          <w:sz w:val="28"/>
          <w:szCs w:val="28"/>
        </w:rPr>
      </w:pPr>
      <w:r w:rsidRPr="00042728">
        <w:rPr>
          <w:rFonts w:asciiTheme="minorHAnsi" w:hAnsiTheme="minorHAnsi" w:cstheme="minorHAnsi"/>
          <w:b/>
          <w:bCs/>
          <w:color w:val="005EB8" w:themeColor="text2"/>
          <w:sz w:val="28"/>
          <w:szCs w:val="28"/>
        </w:rPr>
        <w:t>These are short and long-term objectives.</w:t>
      </w:r>
    </w:p>
    <w:p w14:paraId="41823130" w14:textId="77777777" w:rsidR="00BE3C57" w:rsidRPr="00042728" w:rsidRDefault="00BE3C57" w:rsidP="00042728">
      <w:pPr>
        <w:pStyle w:val="ListParagraph"/>
        <w:numPr>
          <w:ilvl w:val="0"/>
          <w:numId w:val="5"/>
        </w:numPr>
        <w:spacing w:after="280"/>
        <w:ind w:left="426"/>
        <w:rPr>
          <w:rFonts w:asciiTheme="minorHAnsi" w:hAnsiTheme="minorHAnsi" w:cstheme="minorHAnsi"/>
          <w:sz w:val="28"/>
          <w:szCs w:val="28"/>
        </w:rPr>
      </w:pPr>
      <w:r w:rsidRPr="00042728">
        <w:rPr>
          <w:rFonts w:asciiTheme="minorHAnsi" w:hAnsiTheme="minorHAnsi" w:cstheme="minorHAnsi"/>
          <w:sz w:val="28"/>
          <w:szCs w:val="28"/>
        </w:rPr>
        <w:t xml:space="preserve">Support systems with workforce demand scoping to ensure that pharmacy technicians are trained in sufficient numbers and in the right place to address healthcare needs of the population, particularly in areas where high social deprivation and health inequalities could be improved through local healthcare provision. </w:t>
      </w:r>
    </w:p>
    <w:p w14:paraId="3AA5CE03" w14:textId="77777777" w:rsidR="00BE3C57" w:rsidRPr="00042728" w:rsidRDefault="00BE3C57" w:rsidP="00042728">
      <w:pPr>
        <w:pStyle w:val="ListParagraph"/>
        <w:numPr>
          <w:ilvl w:val="0"/>
          <w:numId w:val="5"/>
        </w:numPr>
        <w:spacing w:after="280"/>
        <w:ind w:left="426"/>
        <w:rPr>
          <w:rFonts w:asciiTheme="minorHAnsi" w:hAnsiTheme="minorHAnsi" w:cstheme="minorHAnsi"/>
          <w:sz w:val="28"/>
          <w:szCs w:val="28"/>
        </w:rPr>
      </w:pPr>
      <w:r w:rsidRPr="00042728">
        <w:rPr>
          <w:rFonts w:asciiTheme="minorHAnsi" w:hAnsiTheme="minorHAnsi" w:cstheme="minorHAnsi"/>
          <w:sz w:val="28"/>
          <w:szCs w:val="28"/>
        </w:rPr>
        <w:t>Ensure that training the workforce in sufficient numbers, is supported by harmonised training contributions across England.</w:t>
      </w:r>
    </w:p>
    <w:p w14:paraId="05DD1F30" w14:textId="77777777" w:rsidR="00BE3C57" w:rsidRPr="00042728" w:rsidRDefault="00BE3C57" w:rsidP="00042728">
      <w:pPr>
        <w:pStyle w:val="ListParagraph"/>
        <w:numPr>
          <w:ilvl w:val="0"/>
          <w:numId w:val="5"/>
        </w:numPr>
        <w:spacing w:after="280"/>
        <w:ind w:left="426"/>
        <w:rPr>
          <w:rFonts w:asciiTheme="minorHAnsi" w:hAnsiTheme="minorHAnsi" w:cstheme="minorHAnsi"/>
          <w:sz w:val="28"/>
          <w:szCs w:val="28"/>
        </w:rPr>
      </w:pPr>
      <w:r w:rsidRPr="00042728">
        <w:rPr>
          <w:rFonts w:asciiTheme="minorHAnsi" w:hAnsiTheme="minorHAnsi" w:cstheme="minorHAnsi"/>
          <w:sz w:val="28"/>
          <w:szCs w:val="28"/>
        </w:rPr>
        <w:lastRenderedPageBreak/>
        <w:t>Increase use of healthcare apprenticeships by up to 16%, proportionate to needs of the sector, with growth of Pre-registration Trainee Pharmacy Technician (PTPT) placements at scale in community pharmacy and primary care. This is aligned to the ambitions of the LTWP where the aim is to grow healthcare apprenticeships by 16% by 2028/29.</w:t>
      </w:r>
    </w:p>
    <w:p w14:paraId="0F021C9A" w14:textId="77777777" w:rsidR="00BE3C57" w:rsidRPr="00042728" w:rsidRDefault="00BE3C57" w:rsidP="00042728">
      <w:pPr>
        <w:pStyle w:val="ListParagraph"/>
        <w:numPr>
          <w:ilvl w:val="0"/>
          <w:numId w:val="5"/>
        </w:numPr>
        <w:spacing w:after="280"/>
        <w:ind w:left="426"/>
        <w:rPr>
          <w:rFonts w:asciiTheme="minorHAnsi" w:hAnsiTheme="minorHAnsi" w:cstheme="minorHAnsi"/>
          <w:sz w:val="28"/>
          <w:szCs w:val="28"/>
        </w:rPr>
      </w:pPr>
      <w:r w:rsidRPr="00042728">
        <w:rPr>
          <w:rFonts w:asciiTheme="minorHAnsi" w:hAnsiTheme="minorHAnsi" w:cstheme="minorHAnsi"/>
          <w:sz w:val="28"/>
          <w:szCs w:val="28"/>
        </w:rPr>
        <w:t>Monitor (and mitigate) PTPT attrition from commissioned IET places and registration conversion rates.</w:t>
      </w:r>
    </w:p>
    <w:p w14:paraId="5F100135" w14:textId="77777777" w:rsidR="00BE3C57" w:rsidRPr="00042728" w:rsidRDefault="00BE3C57" w:rsidP="00042728">
      <w:pPr>
        <w:pStyle w:val="ListParagraph"/>
        <w:numPr>
          <w:ilvl w:val="0"/>
          <w:numId w:val="5"/>
        </w:numPr>
        <w:spacing w:after="280"/>
        <w:ind w:left="426"/>
        <w:rPr>
          <w:rFonts w:asciiTheme="minorHAnsi" w:hAnsiTheme="minorHAnsi" w:cstheme="minorHAnsi"/>
          <w:sz w:val="28"/>
          <w:szCs w:val="28"/>
        </w:rPr>
      </w:pPr>
      <w:r w:rsidRPr="00042728">
        <w:rPr>
          <w:rFonts w:asciiTheme="minorHAnsi" w:hAnsiTheme="minorHAnsi" w:cstheme="minorHAnsi"/>
          <w:sz w:val="28"/>
          <w:szCs w:val="28"/>
        </w:rPr>
        <w:t>Support employers to understand the benefits and processes associated with apprenticeships; invest in resources to support smaller employers to work in collaboration with larger organisations that pay the levy.</w:t>
      </w:r>
    </w:p>
    <w:p w14:paraId="3C41848E" w14:textId="77777777" w:rsidR="00BE3C57" w:rsidRPr="00042728" w:rsidRDefault="00BE3C57" w:rsidP="00042728">
      <w:pPr>
        <w:rPr>
          <w:rFonts w:asciiTheme="minorHAnsi" w:hAnsiTheme="minorHAnsi" w:cstheme="minorHAnsi"/>
          <w:b/>
          <w:bCs/>
          <w:color w:val="005EB8" w:themeColor="text2"/>
          <w:sz w:val="28"/>
          <w:szCs w:val="28"/>
        </w:rPr>
      </w:pPr>
      <w:r w:rsidRPr="00042728">
        <w:rPr>
          <w:rFonts w:asciiTheme="minorHAnsi" w:hAnsiTheme="minorHAnsi" w:cstheme="minorHAnsi"/>
          <w:b/>
          <w:bCs/>
          <w:color w:val="005EB8" w:themeColor="text2"/>
          <w:sz w:val="28"/>
          <w:szCs w:val="28"/>
        </w:rPr>
        <w:t xml:space="preserve">5.1.2 Recruitment and supply - careers </w:t>
      </w:r>
    </w:p>
    <w:p w14:paraId="38870205" w14:textId="77777777" w:rsidR="00BE3C57" w:rsidRPr="00042728" w:rsidRDefault="00BE3C57" w:rsidP="00042728">
      <w:pPr>
        <w:rPr>
          <w:rFonts w:asciiTheme="minorHAnsi" w:hAnsiTheme="minorHAnsi" w:cstheme="minorHAnsi"/>
          <w:b/>
          <w:bCs/>
          <w:color w:val="005EB8" w:themeColor="text2"/>
          <w:sz w:val="28"/>
          <w:szCs w:val="28"/>
        </w:rPr>
      </w:pPr>
      <w:r w:rsidRPr="00042728">
        <w:rPr>
          <w:rFonts w:asciiTheme="minorHAnsi" w:hAnsiTheme="minorHAnsi" w:cstheme="minorHAnsi"/>
          <w:b/>
          <w:bCs/>
          <w:color w:val="005EB8" w:themeColor="text2"/>
          <w:sz w:val="28"/>
          <w:szCs w:val="28"/>
        </w:rPr>
        <w:t>These are short to medium-term objectives.</w:t>
      </w:r>
    </w:p>
    <w:p w14:paraId="2E6549C4" w14:textId="77777777" w:rsidR="00BE3C57" w:rsidRPr="00D609D2" w:rsidRDefault="00BE3C57" w:rsidP="00D609D2">
      <w:pPr>
        <w:pStyle w:val="ListParagraph"/>
        <w:numPr>
          <w:ilvl w:val="0"/>
          <w:numId w:val="5"/>
        </w:numPr>
        <w:spacing w:after="280"/>
        <w:ind w:left="426"/>
        <w:rPr>
          <w:rFonts w:asciiTheme="minorHAnsi" w:hAnsiTheme="minorHAnsi" w:cstheme="minorHAnsi"/>
          <w:color w:val="231F20" w:themeColor="background1"/>
          <w:sz w:val="28"/>
          <w:szCs w:val="28"/>
        </w:rPr>
      </w:pPr>
      <w:r w:rsidRPr="00D609D2">
        <w:rPr>
          <w:rFonts w:asciiTheme="minorHAnsi" w:hAnsiTheme="minorHAnsi" w:cstheme="minorHAnsi"/>
          <w:color w:val="231F20" w:themeColor="background1"/>
          <w:sz w:val="28"/>
          <w:szCs w:val="28"/>
        </w:rPr>
        <w:t>Public facing career campaigns</w:t>
      </w:r>
    </w:p>
    <w:p w14:paraId="7ECBB6C5" w14:textId="77777777" w:rsidR="00BE3C57" w:rsidRPr="00D609D2" w:rsidRDefault="00BE3C57" w:rsidP="00042728">
      <w:pPr>
        <w:pStyle w:val="Bulletlist"/>
        <w:numPr>
          <w:ilvl w:val="0"/>
          <w:numId w:val="8"/>
        </w:numPr>
        <w:spacing w:after="280"/>
        <w:contextualSpacing w:val="0"/>
        <w:rPr>
          <w:rFonts w:asciiTheme="minorHAnsi" w:hAnsiTheme="minorHAnsi" w:cstheme="minorHAnsi"/>
          <w:color w:val="231F20" w:themeColor="background1"/>
          <w:sz w:val="28"/>
          <w:szCs w:val="28"/>
        </w:rPr>
      </w:pPr>
      <w:r w:rsidRPr="00D609D2">
        <w:rPr>
          <w:rFonts w:asciiTheme="minorHAnsi" w:hAnsiTheme="minorHAnsi" w:cstheme="minorHAnsi"/>
          <w:color w:val="231F20" w:themeColor="background1"/>
          <w:sz w:val="28"/>
          <w:szCs w:val="28"/>
        </w:rPr>
        <w:t>Build on national pharmacy careers work and the NHS Ambassadors programme</w:t>
      </w:r>
    </w:p>
    <w:p w14:paraId="682FAA36" w14:textId="77777777" w:rsidR="00BE3C57" w:rsidRPr="00D609D2" w:rsidRDefault="00BE3C57" w:rsidP="00042728">
      <w:pPr>
        <w:pStyle w:val="Bulletlist"/>
        <w:numPr>
          <w:ilvl w:val="0"/>
          <w:numId w:val="8"/>
        </w:numPr>
        <w:spacing w:after="280"/>
        <w:contextualSpacing w:val="0"/>
        <w:rPr>
          <w:rFonts w:asciiTheme="minorHAnsi" w:hAnsiTheme="minorHAnsi" w:cstheme="minorHAnsi"/>
          <w:color w:val="231F20" w:themeColor="background1"/>
          <w:sz w:val="28"/>
          <w:szCs w:val="28"/>
        </w:rPr>
      </w:pPr>
      <w:r w:rsidRPr="00D609D2">
        <w:rPr>
          <w:rFonts w:asciiTheme="minorHAnsi" w:hAnsiTheme="minorHAnsi" w:cstheme="minorHAnsi"/>
          <w:color w:val="231F20" w:themeColor="background1"/>
          <w:sz w:val="28"/>
          <w:szCs w:val="28"/>
        </w:rPr>
        <w:t>Promotion of pharmacy technicians via social media</w:t>
      </w:r>
    </w:p>
    <w:p w14:paraId="07A1C332" w14:textId="77777777" w:rsidR="00BE3C57" w:rsidRPr="00D609D2" w:rsidRDefault="00BE3C57" w:rsidP="00042728">
      <w:pPr>
        <w:pStyle w:val="Bulletlist"/>
        <w:numPr>
          <w:ilvl w:val="0"/>
          <w:numId w:val="8"/>
        </w:numPr>
        <w:spacing w:after="280"/>
        <w:contextualSpacing w:val="0"/>
        <w:rPr>
          <w:rFonts w:asciiTheme="minorHAnsi" w:hAnsiTheme="minorHAnsi" w:cstheme="minorHAnsi"/>
          <w:color w:val="231F20" w:themeColor="background1"/>
          <w:sz w:val="28"/>
          <w:szCs w:val="28"/>
        </w:rPr>
      </w:pPr>
      <w:r w:rsidRPr="00D609D2">
        <w:rPr>
          <w:rFonts w:asciiTheme="minorHAnsi" w:hAnsiTheme="minorHAnsi" w:cstheme="minorHAnsi"/>
          <w:color w:val="231F20" w:themeColor="background1"/>
          <w:sz w:val="28"/>
          <w:szCs w:val="28"/>
        </w:rPr>
        <w:t>QR codes to resources on posters at careers fayres, NHS Trust Open Days etc</w:t>
      </w:r>
    </w:p>
    <w:p w14:paraId="63CA0604" w14:textId="77777777" w:rsidR="00BE3C57" w:rsidRPr="00D609D2" w:rsidRDefault="00BE3C57" w:rsidP="00042728">
      <w:pPr>
        <w:pStyle w:val="Bulletlist"/>
        <w:numPr>
          <w:ilvl w:val="0"/>
          <w:numId w:val="8"/>
        </w:numPr>
        <w:spacing w:after="280"/>
        <w:contextualSpacing w:val="0"/>
        <w:rPr>
          <w:rFonts w:asciiTheme="minorHAnsi" w:hAnsiTheme="minorHAnsi" w:cstheme="minorHAnsi"/>
          <w:color w:val="231F20" w:themeColor="background1"/>
          <w:sz w:val="28"/>
          <w:szCs w:val="28"/>
        </w:rPr>
      </w:pPr>
      <w:r w:rsidRPr="00D609D2">
        <w:rPr>
          <w:rFonts w:asciiTheme="minorHAnsi" w:hAnsiTheme="minorHAnsi" w:cstheme="minorHAnsi"/>
          <w:color w:val="231F20" w:themeColor="background1"/>
          <w:sz w:val="28"/>
          <w:szCs w:val="28"/>
        </w:rPr>
        <w:t>Use of virtual reality (VR) and Technology Enhanced Learning (TEL) to link to other platforms</w:t>
      </w:r>
    </w:p>
    <w:p w14:paraId="5855B1C6" w14:textId="77777777" w:rsidR="00BE3C57" w:rsidRPr="00D609D2" w:rsidRDefault="00BE3C57" w:rsidP="00D609D2">
      <w:pPr>
        <w:pStyle w:val="ListParagraph"/>
        <w:numPr>
          <w:ilvl w:val="0"/>
          <w:numId w:val="5"/>
        </w:numPr>
        <w:spacing w:after="280"/>
        <w:ind w:left="426"/>
        <w:rPr>
          <w:rFonts w:asciiTheme="minorHAnsi" w:hAnsiTheme="minorHAnsi" w:cstheme="minorHAnsi"/>
          <w:color w:val="231F20" w:themeColor="background1"/>
          <w:sz w:val="28"/>
          <w:szCs w:val="28"/>
        </w:rPr>
      </w:pPr>
      <w:r w:rsidRPr="00D609D2">
        <w:rPr>
          <w:rFonts w:asciiTheme="minorHAnsi" w:hAnsiTheme="minorHAnsi" w:cstheme="minorHAnsi"/>
          <w:color w:val="231F20" w:themeColor="background1"/>
          <w:sz w:val="28"/>
          <w:szCs w:val="28"/>
        </w:rPr>
        <w:t xml:space="preserve">Link into wider NHS workforce plans to attract people across all generations, including those who have yet to join the workforce, to enter the pharmacy profession to train as pharmacy technicians by promoting the NHS brand, its values and unique employee value proposition. </w:t>
      </w:r>
    </w:p>
    <w:p w14:paraId="6A91EF77" w14:textId="77777777" w:rsidR="00BE3C57" w:rsidRPr="00D609D2" w:rsidRDefault="00BE3C57" w:rsidP="00D609D2">
      <w:pPr>
        <w:pStyle w:val="ListParagraph"/>
        <w:numPr>
          <w:ilvl w:val="0"/>
          <w:numId w:val="5"/>
        </w:numPr>
        <w:spacing w:after="280"/>
        <w:ind w:left="426"/>
        <w:rPr>
          <w:rFonts w:asciiTheme="minorHAnsi" w:hAnsiTheme="minorHAnsi" w:cstheme="minorHAnsi"/>
          <w:color w:val="231F20" w:themeColor="background1"/>
          <w:sz w:val="28"/>
          <w:szCs w:val="28"/>
        </w:rPr>
      </w:pPr>
      <w:r w:rsidRPr="00D609D2">
        <w:rPr>
          <w:rFonts w:asciiTheme="minorHAnsi" w:hAnsiTheme="minorHAnsi" w:cstheme="minorHAnsi"/>
          <w:color w:val="231F20" w:themeColor="background1"/>
          <w:sz w:val="28"/>
          <w:szCs w:val="28"/>
        </w:rPr>
        <w:t>Support applicants with prior experience to complete PTPT education programmes with an expedient route to register, e.g., international recruitment and return to practice.</w:t>
      </w:r>
    </w:p>
    <w:p w14:paraId="7B9C8FB4" w14:textId="77777777" w:rsidR="00BE3C57" w:rsidRPr="00D609D2" w:rsidRDefault="00BE3C57" w:rsidP="00D609D2">
      <w:pPr>
        <w:pStyle w:val="ListParagraph"/>
        <w:numPr>
          <w:ilvl w:val="0"/>
          <w:numId w:val="5"/>
        </w:numPr>
        <w:spacing w:after="280"/>
        <w:ind w:left="426"/>
        <w:rPr>
          <w:rFonts w:asciiTheme="minorHAnsi" w:hAnsiTheme="minorHAnsi" w:cstheme="minorHAnsi"/>
          <w:color w:val="231F20" w:themeColor="background1"/>
          <w:sz w:val="28"/>
          <w:szCs w:val="28"/>
        </w:rPr>
      </w:pPr>
      <w:r w:rsidRPr="00D609D2">
        <w:rPr>
          <w:rFonts w:asciiTheme="minorHAnsi" w:hAnsiTheme="minorHAnsi" w:cstheme="minorHAnsi"/>
          <w:color w:val="231F20" w:themeColor="background1"/>
          <w:sz w:val="28"/>
          <w:szCs w:val="28"/>
        </w:rPr>
        <w:t>Work with employers and system partners to deliver fair, pragmatic recruitment processes.</w:t>
      </w:r>
    </w:p>
    <w:p w14:paraId="4041E6AD" w14:textId="77777777" w:rsidR="00BE3C57" w:rsidRPr="00042728" w:rsidRDefault="00BE3C57" w:rsidP="00042728">
      <w:pPr>
        <w:rPr>
          <w:rFonts w:asciiTheme="minorHAnsi" w:hAnsiTheme="minorHAnsi" w:cstheme="minorHAnsi"/>
          <w:sz w:val="28"/>
          <w:szCs w:val="28"/>
        </w:rPr>
      </w:pPr>
    </w:p>
    <w:p w14:paraId="3B3B3F1C" w14:textId="77777777" w:rsidR="00BE3C57" w:rsidRPr="00042728" w:rsidRDefault="00BE3C57" w:rsidP="00042728">
      <w:pPr>
        <w:rPr>
          <w:rFonts w:asciiTheme="minorHAnsi" w:hAnsiTheme="minorHAnsi" w:cstheme="minorHAnsi"/>
          <w:b/>
          <w:bCs/>
          <w:color w:val="005EB8" w:themeColor="text2"/>
          <w:sz w:val="28"/>
          <w:szCs w:val="28"/>
        </w:rPr>
      </w:pPr>
      <w:r w:rsidRPr="00042728">
        <w:rPr>
          <w:rFonts w:asciiTheme="minorHAnsi" w:hAnsiTheme="minorHAnsi" w:cstheme="minorHAnsi"/>
          <w:b/>
          <w:bCs/>
          <w:color w:val="005EB8" w:themeColor="text2"/>
          <w:sz w:val="28"/>
          <w:szCs w:val="28"/>
        </w:rPr>
        <w:t>5.2 Retain - Embedding the right culture and improving retention (Key priority area 2)</w:t>
      </w:r>
    </w:p>
    <w:p w14:paraId="6AF0DADA" w14:textId="77777777" w:rsidR="00BE3C57" w:rsidRPr="00042728" w:rsidRDefault="00BE3C57" w:rsidP="00042728">
      <w:pPr>
        <w:rPr>
          <w:rFonts w:asciiTheme="minorHAnsi" w:hAnsiTheme="minorHAnsi" w:cstheme="minorHAnsi"/>
          <w:b/>
          <w:bCs/>
          <w:color w:val="005EB8" w:themeColor="text2"/>
          <w:sz w:val="28"/>
          <w:szCs w:val="28"/>
        </w:rPr>
      </w:pPr>
      <w:r w:rsidRPr="00042728">
        <w:rPr>
          <w:rFonts w:asciiTheme="minorHAnsi" w:hAnsiTheme="minorHAnsi" w:cstheme="minorHAnsi"/>
          <w:b/>
          <w:bCs/>
          <w:color w:val="005EB8" w:themeColor="text2"/>
          <w:sz w:val="28"/>
          <w:szCs w:val="28"/>
        </w:rPr>
        <w:t>These are short to medium-term objectives.</w:t>
      </w:r>
    </w:p>
    <w:p w14:paraId="3508DA8D" w14:textId="77777777" w:rsidR="00BE3C57" w:rsidRPr="00042728" w:rsidRDefault="00BE3C57" w:rsidP="00D609D2">
      <w:pPr>
        <w:pStyle w:val="ListParagraph"/>
        <w:numPr>
          <w:ilvl w:val="0"/>
          <w:numId w:val="5"/>
        </w:numPr>
        <w:spacing w:after="280"/>
        <w:ind w:left="426"/>
        <w:rPr>
          <w:rFonts w:asciiTheme="minorHAnsi" w:hAnsiTheme="minorHAnsi" w:cstheme="minorHAnsi"/>
          <w:sz w:val="28"/>
          <w:szCs w:val="28"/>
        </w:rPr>
      </w:pPr>
      <w:r w:rsidRPr="00042728">
        <w:rPr>
          <w:rFonts w:asciiTheme="minorHAnsi" w:hAnsiTheme="minorHAnsi" w:cstheme="minorHAnsi"/>
          <w:sz w:val="28"/>
          <w:szCs w:val="28"/>
        </w:rPr>
        <w:t>Provide leadership, fellowship and management training and development opportunities.</w:t>
      </w:r>
    </w:p>
    <w:p w14:paraId="2FB528B8" w14:textId="77777777" w:rsidR="00BE3C57" w:rsidRPr="00042728" w:rsidRDefault="00BE3C57" w:rsidP="00D609D2">
      <w:pPr>
        <w:pStyle w:val="ListParagraph"/>
        <w:numPr>
          <w:ilvl w:val="0"/>
          <w:numId w:val="5"/>
        </w:numPr>
        <w:spacing w:after="280"/>
        <w:ind w:left="426"/>
        <w:rPr>
          <w:rFonts w:asciiTheme="minorHAnsi" w:hAnsiTheme="minorHAnsi" w:cstheme="minorHAnsi"/>
          <w:sz w:val="28"/>
          <w:szCs w:val="28"/>
        </w:rPr>
      </w:pPr>
      <w:r w:rsidRPr="00042728">
        <w:rPr>
          <w:rFonts w:asciiTheme="minorHAnsi" w:hAnsiTheme="minorHAnsi" w:cstheme="minorHAnsi"/>
          <w:sz w:val="28"/>
          <w:szCs w:val="28"/>
        </w:rPr>
        <w:t>Reduce systemic bias and do more to ensure pharmacy technicians and PTPTs are treated fairly within a compassionate and inclusive culture.</w:t>
      </w:r>
    </w:p>
    <w:p w14:paraId="53E7D7FC" w14:textId="77777777" w:rsidR="00BE3C57" w:rsidRPr="00042728" w:rsidRDefault="00BE3C57" w:rsidP="00D609D2">
      <w:pPr>
        <w:pStyle w:val="ListParagraph"/>
        <w:numPr>
          <w:ilvl w:val="0"/>
          <w:numId w:val="5"/>
        </w:numPr>
        <w:spacing w:after="280"/>
        <w:ind w:left="426"/>
        <w:rPr>
          <w:rFonts w:asciiTheme="minorHAnsi" w:hAnsiTheme="minorHAnsi" w:cstheme="minorHAnsi"/>
          <w:sz w:val="28"/>
          <w:szCs w:val="28"/>
        </w:rPr>
      </w:pPr>
      <w:r w:rsidRPr="00042728">
        <w:rPr>
          <w:rFonts w:asciiTheme="minorHAnsi" w:hAnsiTheme="minorHAnsi" w:cstheme="minorHAnsi"/>
          <w:sz w:val="28"/>
          <w:szCs w:val="28"/>
        </w:rPr>
        <w:t>Support initiatives to increase diversity within the profession and tackle discrimination.</w:t>
      </w:r>
    </w:p>
    <w:p w14:paraId="0055C0C8" w14:textId="77777777" w:rsidR="00BE3C57" w:rsidRPr="00042728" w:rsidRDefault="00BE3C57" w:rsidP="00D609D2">
      <w:pPr>
        <w:pStyle w:val="ListParagraph"/>
        <w:numPr>
          <w:ilvl w:val="0"/>
          <w:numId w:val="5"/>
        </w:numPr>
        <w:spacing w:after="280"/>
        <w:ind w:left="426"/>
        <w:rPr>
          <w:rFonts w:asciiTheme="minorHAnsi" w:hAnsiTheme="minorHAnsi" w:cstheme="minorHAnsi"/>
          <w:sz w:val="28"/>
          <w:szCs w:val="28"/>
        </w:rPr>
      </w:pPr>
      <w:r w:rsidRPr="00042728">
        <w:rPr>
          <w:rFonts w:asciiTheme="minorHAnsi" w:hAnsiTheme="minorHAnsi" w:cstheme="minorHAnsi"/>
          <w:sz w:val="28"/>
          <w:szCs w:val="28"/>
        </w:rPr>
        <w:t>Commission the development of education frameworks and promote practice standards to support transferability between sectors via passporting.</w:t>
      </w:r>
    </w:p>
    <w:p w14:paraId="74D17126" w14:textId="77777777" w:rsidR="00BE3C57" w:rsidRPr="00042728" w:rsidRDefault="00BE3C57" w:rsidP="00D609D2">
      <w:pPr>
        <w:pStyle w:val="ListParagraph"/>
        <w:numPr>
          <w:ilvl w:val="0"/>
          <w:numId w:val="5"/>
        </w:numPr>
        <w:spacing w:after="280"/>
        <w:ind w:left="426"/>
        <w:rPr>
          <w:rFonts w:asciiTheme="minorHAnsi" w:hAnsiTheme="minorHAnsi" w:cstheme="minorHAnsi"/>
          <w:sz w:val="28"/>
          <w:szCs w:val="28"/>
        </w:rPr>
      </w:pPr>
      <w:r w:rsidRPr="00042728">
        <w:rPr>
          <w:rFonts w:asciiTheme="minorHAnsi" w:hAnsiTheme="minorHAnsi" w:cstheme="minorHAnsi"/>
          <w:sz w:val="28"/>
          <w:szCs w:val="28"/>
        </w:rPr>
        <w:t>Procurement of clinical skills training to enable pharmacy technicians to deliver clinical services across all sectors of health and social care.</w:t>
      </w:r>
    </w:p>
    <w:p w14:paraId="21EEBD5D" w14:textId="77777777" w:rsidR="00BE3C57" w:rsidRPr="00042728" w:rsidRDefault="00BE3C57" w:rsidP="00D609D2">
      <w:pPr>
        <w:pStyle w:val="ListParagraph"/>
        <w:numPr>
          <w:ilvl w:val="0"/>
          <w:numId w:val="5"/>
        </w:numPr>
        <w:spacing w:after="280"/>
        <w:ind w:left="426"/>
        <w:rPr>
          <w:rFonts w:asciiTheme="minorHAnsi" w:hAnsiTheme="minorHAnsi" w:cstheme="minorHAnsi"/>
          <w:sz w:val="28"/>
          <w:szCs w:val="28"/>
        </w:rPr>
      </w:pPr>
      <w:r w:rsidRPr="00042728">
        <w:rPr>
          <w:rFonts w:asciiTheme="minorHAnsi" w:hAnsiTheme="minorHAnsi" w:cstheme="minorHAnsi"/>
          <w:sz w:val="28"/>
          <w:szCs w:val="28"/>
        </w:rPr>
        <w:t>Commission the creation of career and funded education pathways for pharmacy technicians delivering generalist and specialist services.</w:t>
      </w:r>
    </w:p>
    <w:p w14:paraId="5EE352B4" w14:textId="77777777" w:rsidR="00BE3C57" w:rsidRPr="00042728" w:rsidRDefault="00BE3C57" w:rsidP="00D609D2">
      <w:pPr>
        <w:pStyle w:val="ListParagraph"/>
        <w:numPr>
          <w:ilvl w:val="0"/>
          <w:numId w:val="5"/>
        </w:numPr>
        <w:spacing w:after="280"/>
        <w:ind w:left="426"/>
        <w:rPr>
          <w:rFonts w:asciiTheme="minorHAnsi" w:hAnsiTheme="minorHAnsi" w:cstheme="minorHAnsi"/>
          <w:sz w:val="28"/>
          <w:szCs w:val="28"/>
        </w:rPr>
      </w:pPr>
      <w:r w:rsidRPr="00042728">
        <w:rPr>
          <w:rFonts w:asciiTheme="minorHAnsi" w:hAnsiTheme="minorHAnsi" w:cstheme="minorHAnsi"/>
          <w:sz w:val="28"/>
          <w:szCs w:val="28"/>
        </w:rPr>
        <w:t>Support attainment across the four pillars of professional practice by increasing provision of training and supporting uptake of opportunities to gain experience.</w:t>
      </w:r>
    </w:p>
    <w:p w14:paraId="51E8ACE4" w14:textId="77777777" w:rsidR="00BE3C57" w:rsidRPr="00042728" w:rsidRDefault="00BE3C57" w:rsidP="00D609D2">
      <w:pPr>
        <w:pStyle w:val="ListParagraph"/>
        <w:numPr>
          <w:ilvl w:val="0"/>
          <w:numId w:val="5"/>
        </w:numPr>
        <w:spacing w:after="280"/>
        <w:ind w:left="426"/>
        <w:rPr>
          <w:rFonts w:asciiTheme="minorHAnsi" w:hAnsiTheme="minorHAnsi" w:cstheme="minorHAnsi"/>
          <w:sz w:val="28"/>
          <w:szCs w:val="28"/>
        </w:rPr>
      </w:pPr>
      <w:r w:rsidRPr="00042728">
        <w:rPr>
          <w:rFonts w:asciiTheme="minorHAnsi" w:hAnsiTheme="minorHAnsi" w:cstheme="minorHAnsi"/>
          <w:sz w:val="28"/>
          <w:szCs w:val="28"/>
        </w:rPr>
        <w:t xml:space="preserve">Support future access to level 4 and 5 clinical </w:t>
      </w:r>
      <w:proofErr w:type="gramStart"/>
      <w:r w:rsidRPr="00042728">
        <w:rPr>
          <w:rFonts w:asciiTheme="minorHAnsi" w:hAnsiTheme="minorHAnsi" w:cstheme="minorHAnsi"/>
          <w:sz w:val="28"/>
          <w:szCs w:val="28"/>
        </w:rPr>
        <w:t>education</w:t>
      </w:r>
      <w:proofErr w:type="gramEnd"/>
      <w:r w:rsidRPr="00042728">
        <w:rPr>
          <w:rFonts w:asciiTheme="minorHAnsi" w:hAnsiTheme="minorHAnsi" w:cstheme="minorHAnsi"/>
          <w:sz w:val="28"/>
          <w:szCs w:val="28"/>
        </w:rPr>
        <w:t xml:space="preserve"> to underpin the training required for service delivery and working across systems.</w:t>
      </w:r>
    </w:p>
    <w:p w14:paraId="377CE022" w14:textId="77777777" w:rsidR="00BE3C57" w:rsidRPr="00042728" w:rsidRDefault="00BE3C57" w:rsidP="00042728">
      <w:pPr>
        <w:rPr>
          <w:rFonts w:asciiTheme="minorHAnsi" w:hAnsiTheme="minorHAnsi" w:cstheme="minorHAnsi"/>
          <w:b/>
          <w:bCs/>
          <w:color w:val="005EB8" w:themeColor="text2"/>
          <w:sz w:val="28"/>
          <w:szCs w:val="28"/>
        </w:rPr>
      </w:pPr>
      <w:r w:rsidRPr="00042728">
        <w:rPr>
          <w:rFonts w:asciiTheme="minorHAnsi" w:hAnsiTheme="minorHAnsi" w:cstheme="minorHAnsi"/>
          <w:b/>
          <w:bCs/>
          <w:color w:val="005EB8" w:themeColor="text2"/>
          <w:sz w:val="28"/>
          <w:szCs w:val="28"/>
        </w:rPr>
        <w:t>5.3 Reform – Working and training differently (Key priority area 3)</w:t>
      </w:r>
    </w:p>
    <w:p w14:paraId="4CAF3CFC" w14:textId="77777777" w:rsidR="00BE3C57" w:rsidRPr="00042728" w:rsidRDefault="00BE3C57" w:rsidP="00042728">
      <w:pPr>
        <w:rPr>
          <w:rFonts w:asciiTheme="minorHAnsi" w:hAnsiTheme="minorHAnsi" w:cstheme="minorHAnsi"/>
          <w:b/>
          <w:bCs/>
          <w:color w:val="005EB8" w:themeColor="text2"/>
          <w:sz w:val="28"/>
          <w:szCs w:val="28"/>
        </w:rPr>
      </w:pPr>
      <w:r w:rsidRPr="00042728">
        <w:rPr>
          <w:rFonts w:asciiTheme="minorHAnsi" w:hAnsiTheme="minorHAnsi" w:cstheme="minorHAnsi"/>
          <w:b/>
          <w:bCs/>
          <w:color w:val="005EB8" w:themeColor="text2"/>
          <w:sz w:val="28"/>
          <w:szCs w:val="28"/>
        </w:rPr>
        <w:t>5.3.1 Professional development</w:t>
      </w:r>
    </w:p>
    <w:p w14:paraId="79C37812" w14:textId="77777777" w:rsidR="00BE3C57" w:rsidRPr="00042728" w:rsidRDefault="00BE3C57" w:rsidP="00042728">
      <w:pPr>
        <w:rPr>
          <w:rFonts w:asciiTheme="minorHAnsi" w:hAnsiTheme="minorHAnsi" w:cstheme="minorHAnsi"/>
          <w:b/>
          <w:bCs/>
          <w:color w:val="005EB8" w:themeColor="text2"/>
          <w:sz w:val="28"/>
          <w:szCs w:val="28"/>
        </w:rPr>
      </w:pPr>
      <w:r w:rsidRPr="00042728">
        <w:rPr>
          <w:rFonts w:asciiTheme="minorHAnsi" w:hAnsiTheme="minorHAnsi" w:cstheme="minorHAnsi"/>
          <w:b/>
          <w:bCs/>
          <w:color w:val="005EB8" w:themeColor="text2"/>
          <w:sz w:val="28"/>
          <w:szCs w:val="28"/>
        </w:rPr>
        <w:t>This is a short-term objective.</w:t>
      </w:r>
    </w:p>
    <w:p w14:paraId="5AE2334A" w14:textId="77777777" w:rsidR="00BE3C57" w:rsidRDefault="00BE3C57" w:rsidP="00D609D2">
      <w:pPr>
        <w:pStyle w:val="Bulletlist"/>
        <w:spacing w:after="280"/>
        <w:ind w:left="567" w:hanging="425"/>
        <w:rPr>
          <w:rFonts w:asciiTheme="minorHAnsi" w:hAnsiTheme="minorHAnsi" w:cstheme="minorHAnsi"/>
          <w:sz w:val="28"/>
          <w:szCs w:val="28"/>
        </w:rPr>
      </w:pPr>
      <w:r w:rsidRPr="00D609D2">
        <w:rPr>
          <w:rFonts w:asciiTheme="minorHAnsi" w:hAnsiTheme="minorHAnsi" w:cstheme="minorHAnsi"/>
          <w:sz w:val="28"/>
          <w:szCs w:val="28"/>
        </w:rPr>
        <w:t>Commission training in clinical skills and professional confidence, in readiness for national healthcare reforms.</w:t>
      </w:r>
    </w:p>
    <w:p w14:paraId="6FC37F8A" w14:textId="77777777" w:rsidR="00D609D2" w:rsidRPr="00D609D2" w:rsidRDefault="00D609D2" w:rsidP="00D609D2">
      <w:pPr>
        <w:pStyle w:val="Bulletlist"/>
        <w:numPr>
          <w:ilvl w:val="0"/>
          <w:numId w:val="0"/>
        </w:numPr>
        <w:spacing w:after="280"/>
        <w:ind w:left="567"/>
        <w:rPr>
          <w:rFonts w:asciiTheme="minorHAnsi" w:hAnsiTheme="minorHAnsi" w:cstheme="minorHAnsi"/>
          <w:sz w:val="28"/>
          <w:szCs w:val="28"/>
        </w:rPr>
      </w:pPr>
    </w:p>
    <w:p w14:paraId="32D67553" w14:textId="77777777" w:rsidR="00BE3C57" w:rsidRPr="00042728" w:rsidRDefault="00BE3C57" w:rsidP="00042728">
      <w:pPr>
        <w:rPr>
          <w:rFonts w:asciiTheme="minorHAnsi" w:hAnsiTheme="minorHAnsi" w:cstheme="minorHAnsi"/>
          <w:b/>
          <w:bCs/>
          <w:color w:val="005EB8" w:themeColor="text2"/>
          <w:sz w:val="28"/>
          <w:szCs w:val="28"/>
        </w:rPr>
      </w:pPr>
      <w:r w:rsidRPr="00042728">
        <w:rPr>
          <w:rFonts w:asciiTheme="minorHAnsi" w:hAnsiTheme="minorHAnsi" w:cstheme="minorHAnsi"/>
          <w:b/>
          <w:bCs/>
          <w:color w:val="005EB8" w:themeColor="text2"/>
          <w:sz w:val="28"/>
          <w:szCs w:val="28"/>
        </w:rPr>
        <w:lastRenderedPageBreak/>
        <w:t>5.3.2 Shift skills capacity into community</w:t>
      </w:r>
    </w:p>
    <w:p w14:paraId="685FCA04" w14:textId="77777777" w:rsidR="00BE3C57" w:rsidRPr="00042728" w:rsidRDefault="00BE3C57" w:rsidP="00042728">
      <w:pPr>
        <w:rPr>
          <w:rFonts w:asciiTheme="minorHAnsi" w:hAnsiTheme="minorHAnsi" w:cstheme="minorHAnsi"/>
          <w:b/>
          <w:bCs/>
          <w:color w:val="005EB8" w:themeColor="text2"/>
          <w:sz w:val="28"/>
          <w:szCs w:val="28"/>
        </w:rPr>
      </w:pPr>
      <w:r w:rsidRPr="00042728">
        <w:rPr>
          <w:rFonts w:asciiTheme="minorHAnsi" w:hAnsiTheme="minorHAnsi" w:cstheme="minorHAnsi"/>
          <w:b/>
          <w:bCs/>
          <w:color w:val="005EB8" w:themeColor="text2"/>
          <w:sz w:val="28"/>
          <w:szCs w:val="28"/>
        </w:rPr>
        <w:t>This is a medium-term objective.</w:t>
      </w:r>
    </w:p>
    <w:p w14:paraId="3DD5E5A1" w14:textId="77777777" w:rsidR="00BE3C57" w:rsidRPr="00D609D2" w:rsidRDefault="00BE3C57" w:rsidP="00D609D2">
      <w:pPr>
        <w:pStyle w:val="Bulletlist"/>
        <w:spacing w:after="280"/>
        <w:ind w:left="426" w:hanging="357"/>
        <w:contextualSpacing w:val="0"/>
        <w:rPr>
          <w:rFonts w:asciiTheme="minorHAnsi" w:hAnsiTheme="minorHAnsi" w:cstheme="minorHAnsi"/>
          <w:color w:val="231F20" w:themeColor="background1"/>
          <w:sz w:val="28"/>
          <w:szCs w:val="28"/>
        </w:rPr>
      </w:pPr>
      <w:r w:rsidRPr="00D609D2">
        <w:rPr>
          <w:rFonts w:asciiTheme="minorHAnsi" w:hAnsiTheme="minorHAnsi" w:cstheme="minorHAnsi"/>
          <w:color w:val="231F20" w:themeColor="background1"/>
          <w:sz w:val="28"/>
          <w:szCs w:val="28"/>
        </w:rPr>
        <w:t>To enable moving more care out of hospital, more pharmacy technicians need to be trained and work in primary, community and mental health care. To support with this, pharmacy technicians should receive training on how pharmacy can support mental health and learning disability services.</w:t>
      </w:r>
    </w:p>
    <w:p w14:paraId="51D713B9" w14:textId="77777777" w:rsidR="00BE3C57" w:rsidRPr="00042728" w:rsidRDefault="00BE3C57" w:rsidP="00042728">
      <w:pPr>
        <w:rPr>
          <w:rFonts w:asciiTheme="minorHAnsi" w:hAnsiTheme="minorHAnsi" w:cstheme="minorHAnsi"/>
          <w:b/>
          <w:bCs/>
          <w:color w:val="005EB8" w:themeColor="text2"/>
          <w:sz w:val="28"/>
          <w:szCs w:val="28"/>
        </w:rPr>
      </w:pPr>
      <w:r w:rsidRPr="00042728">
        <w:rPr>
          <w:rFonts w:asciiTheme="minorHAnsi" w:hAnsiTheme="minorHAnsi" w:cstheme="minorHAnsi"/>
          <w:b/>
          <w:bCs/>
          <w:color w:val="005EB8" w:themeColor="text2"/>
          <w:sz w:val="28"/>
          <w:szCs w:val="28"/>
        </w:rPr>
        <w:t xml:space="preserve">5.3.3 Digital and technological innovations </w:t>
      </w:r>
    </w:p>
    <w:p w14:paraId="431C8FED" w14:textId="77777777" w:rsidR="00BE3C57" w:rsidRPr="00042728" w:rsidRDefault="00BE3C57" w:rsidP="00042728">
      <w:pPr>
        <w:rPr>
          <w:rFonts w:asciiTheme="minorHAnsi" w:hAnsiTheme="minorHAnsi" w:cstheme="minorHAnsi"/>
          <w:b/>
          <w:bCs/>
          <w:color w:val="005EB8" w:themeColor="text2"/>
          <w:sz w:val="28"/>
          <w:szCs w:val="28"/>
        </w:rPr>
      </w:pPr>
      <w:r w:rsidRPr="00042728">
        <w:rPr>
          <w:rFonts w:asciiTheme="minorHAnsi" w:hAnsiTheme="minorHAnsi" w:cstheme="minorHAnsi"/>
          <w:b/>
          <w:bCs/>
          <w:color w:val="005EB8" w:themeColor="text2"/>
          <w:sz w:val="28"/>
          <w:szCs w:val="28"/>
        </w:rPr>
        <w:t>These are medium to long-term objectives.</w:t>
      </w:r>
    </w:p>
    <w:p w14:paraId="39CA4A45" w14:textId="77777777" w:rsidR="00BE3C57" w:rsidRPr="00D609D2" w:rsidRDefault="00BE3C57" w:rsidP="00D609D2">
      <w:pPr>
        <w:pStyle w:val="Bulletlist"/>
        <w:spacing w:after="280"/>
        <w:ind w:left="426" w:hanging="357"/>
        <w:contextualSpacing w:val="0"/>
        <w:rPr>
          <w:rFonts w:asciiTheme="minorHAnsi" w:hAnsiTheme="minorHAnsi" w:cstheme="minorHAnsi"/>
          <w:color w:val="231F20" w:themeColor="background1"/>
          <w:sz w:val="28"/>
          <w:szCs w:val="28"/>
        </w:rPr>
      </w:pPr>
      <w:r w:rsidRPr="00D609D2">
        <w:rPr>
          <w:rFonts w:asciiTheme="minorHAnsi" w:hAnsiTheme="minorHAnsi" w:cstheme="minorHAnsi"/>
          <w:color w:val="231F20" w:themeColor="background1"/>
          <w:sz w:val="28"/>
          <w:szCs w:val="28"/>
        </w:rPr>
        <w:t xml:space="preserve">Commission training in Artificial Intelligence (AI) and other technological advances, and support digital literacy of the workforce, in readiness for future service provision models. </w:t>
      </w:r>
    </w:p>
    <w:p w14:paraId="2090045F" w14:textId="77777777" w:rsidR="00BE3C57" w:rsidRPr="00042728" w:rsidRDefault="00BE3C57" w:rsidP="00D609D2">
      <w:pPr>
        <w:pStyle w:val="Bulletlist"/>
        <w:spacing w:after="280"/>
        <w:ind w:left="426" w:hanging="357"/>
        <w:contextualSpacing w:val="0"/>
        <w:rPr>
          <w:rFonts w:asciiTheme="minorHAnsi" w:hAnsiTheme="minorHAnsi" w:cstheme="minorHAnsi"/>
          <w:sz w:val="28"/>
          <w:szCs w:val="28"/>
        </w:rPr>
      </w:pPr>
      <w:r w:rsidRPr="00D609D2">
        <w:rPr>
          <w:rFonts w:asciiTheme="minorHAnsi" w:hAnsiTheme="minorHAnsi" w:cstheme="minorHAnsi"/>
          <w:color w:val="231F20" w:themeColor="background1"/>
          <w:sz w:val="28"/>
          <w:szCs w:val="28"/>
        </w:rPr>
        <w:t>Advances in technology, A.I. and genomics are moving at pace; consider potential impacts (positive and negative) on the workforce of tomorrow. Commission training to support digital literacy and technological capabilities as this will be vital for trainees, supervisors and the legacy workforce.</w:t>
      </w:r>
      <w:r w:rsidRPr="00042728">
        <w:rPr>
          <w:rFonts w:asciiTheme="minorHAnsi" w:hAnsiTheme="minorHAnsi" w:cstheme="minorHAnsi"/>
          <w:sz w:val="28"/>
          <w:szCs w:val="28"/>
        </w:rPr>
        <w:br w:type="page"/>
      </w:r>
    </w:p>
    <w:p w14:paraId="5004790B" w14:textId="77777777" w:rsidR="00BE3C57" w:rsidRPr="00290F5B" w:rsidRDefault="00BE3C57" w:rsidP="00290D9C">
      <w:pPr>
        <w:pStyle w:val="Heading2"/>
        <w:numPr>
          <w:ilvl w:val="0"/>
          <w:numId w:val="11"/>
        </w:numPr>
        <w:ind w:left="426" w:hanging="426"/>
      </w:pPr>
      <w:bookmarkStart w:id="16" w:name="_Toc149038774"/>
      <w:bookmarkStart w:id="17" w:name="_Toc164757285"/>
      <w:r w:rsidRPr="00290F5B">
        <w:lastRenderedPageBreak/>
        <w:t>NEXT STEPS</w:t>
      </w:r>
      <w:bookmarkEnd w:id="16"/>
      <w:bookmarkEnd w:id="17"/>
    </w:p>
    <w:p w14:paraId="56A46E3E" w14:textId="77777777" w:rsidR="00BE3C57" w:rsidRPr="00290F5B" w:rsidRDefault="00BE3C57" w:rsidP="00290D9C">
      <w:pPr>
        <w:pStyle w:val="h2numbered"/>
        <w:numPr>
          <w:ilvl w:val="0"/>
          <w:numId w:val="0"/>
        </w:numPr>
      </w:pPr>
      <w:bookmarkStart w:id="18" w:name="_Toc164757286"/>
      <w:r w:rsidRPr="00290F5B">
        <w:t>Delivering and embedding the plan</w:t>
      </w:r>
      <w:bookmarkEnd w:id="18"/>
    </w:p>
    <w:p w14:paraId="7D2612CB" w14:textId="4D758A33" w:rsidR="00BE3C57" w:rsidRPr="00B9543B" w:rsidRDefault="4098B592" w:rsidP="00290D9C">
      <w:r w:rsidRPr="00AEC026">
        <w:rPr>
          <w:rFonts w:asciiTheme="minorHAnsi" w:hAnsiTheme="minorHAnsi" w:cstheme="minorBidi"/>
          <w:sz w:val="28"/>
          <w:szCs w:val="28"/>
        </w:rPr>
        <w:t>The Senior Responsible Office</w:t>
      </w:r>
      <w:r w:rsidR="1D16018E" w:rsidRPr="00AEC026">
        <w:rPr>
          <w:rFonts w:asciiTheme="minorHAnsi" w:hAnsiTheme="minorHAnsi" w:cstheme="minorBidi"/>
          <w:sz w:val="28"/>
          <w:szCs w:val="28"/>
        </w:rPr>
        <w:t>r</w:t>
      </w:r>
      <w:r w:rsidRPr="00AEC026">
        <w:rPr>
          <w:rFonts w:asciiTheme="minorHAnsi" w:hAnsiTheme="minorHAnsi" w:cstheme="minorBidi"/>
          <w:sz w:val="28"/>
          <w:szCs w:val="28"/>
        </w:rPr>
        <w:t xml:space="preserve"> (SRO), in conjunction with Regional Pharmacy Technician Leads within the WT&amp;E Directorate will formulate an implementation and communication </w:t>
      </w:r>
      <w:r w:rsidR="7A3E70D9" w:rsidRPr="00AEC026">
        <w:rPr>
          <w:rFonts w:asciiTheme="minorHAnsi" w:hAnsiTheme="minorHAnsi" w:cstheme="minorBidi"/>
          <w:sz w:val="28"/>
          <w:szCs w:val="28"/>
        </w:rPr>
        <w:t>plan</w:t>
      </w:r>
      <w:r w:rsidRPr="00AEC026">
        <w:rPr>
          <w:rFonts w:asciiTheme="minorHAnsi" w:hAnsiTheme="minorHAnsi" w:cstheme="minorBidi"/>
          <w:sz w:val="28"/>
          <w:szCs w:val="28"/>
        </w:rPr>
        <w:t xml:space="preserve"> to achieve </w:t>
      </w:r>
      <w:r w:rsidR="4A65CFBD" w:rsidRPr="00AEC026">
        <w:rPr>
          <w:rFonts w:asciiTheme="minorHAnsi" w:hAnsiTheme="minorHAnsi" w:cstheme="minorBidi"/>
          <w:sz w:val="28"/>
          <w:szCs w:val="28"/>
        </w:rPr>
        <w:t>the programme</w:t>
      </w:r>
      <w:r w:rsidRPr="00AEC026">
        <w:rPr>
          <w:rFonts w:asciiTheme="minorHAnsi" w:hAnsiTheme="minorHAnsi" w:cstheme="minorBidi"/>
          <w:sz w:val="28"/>
          <w:szCs w:val="28"/>
        </w:rPr>
        <w:t xml:space="preserve"> objectives</w:t>
      </w:r>
      <w:r>
        <w:t>.</w:t>
      </w:r>
    </w:p>
    <w:p w14:paraId="34D12203" w14:textId="77777777" w:rsidR="00BE3C57" w:rsidRPr="003F3B50" w:rsidRDefault="00BE3C57" w:rsidP="00290D9C">
      <w:pPr>
        <w:pStyle w:val="h2numbered"/>
        <w:numPr>
          <w:ilvl w:val="0"/>
          <w:numId w:val="0"/>
        </w:numPr>
      </w:pPr>
      <w:bookmarkStart w:id="19" w:name="_Toc164757287"/>
      <w:r w:rsidRPr="003F3B50">
        <w:t>The role of the I</w:t>
      </w:r>
      <w:r>
        <w:t xml:space="preserve">ntegrated </w:t>
      </w:r>
      <w:r w:rsidRPr="003F3B50">
        <w:t>C</w:t>
      </w:r>
      <w:r>
        <w:t xml:space="preserve">are </w:t>
      </w:r>
      <w:r w:rsidRPr="003F3B50">
        <w:t>S</w:t>
      </w:r>
      <w:r>
        <w:t>ystem (ICS)</w:t>
      </w:r>
      <w:bookmarkEnd w:id="19"/>
    </w:p>
    <w:p w14:paraId="5612A2CF" w14:textId="20EF3524" w:rsidR="00BE3C57" w:rsidRPr="00290D9C" w:rsidRDefault="4098B592" w:rsidP="00AEC026">
      <w:pPr>
        <w:spacing w:after="120" w:line="240" w:lineRule="auto"/>
        <w:rPr>
          <w:rFonts w:asciiTheme="minorHAnsi" w:hAnsiTheme="minorHAnsi" w:cstheme="minorBidi"/>
          <w:sz w:val="28"/>
          <w:szCs w:val="28"/>
        </w:rPr>
      </w:pPr>
      <w:r w:rsidRPr="00AEC026">
        <w:rPr>
          <w:rFonts w:asciiTheme="minorHAnsi" w:hAnsiTheme="minorHAnsi" w:cstheme="minorBidi"/>
          <w:sz w:val="28"/>
          <w:szCs w:val="28"/>
        </w:rPr>
        <w:t xml:space="preserve">ICSs have been tasked with bringing together NHS organisations, local authorities and wider system partners to improve population health and healthcare, tackle unequal outcomes and access, enhance productivity and value for money, and help the NHS support broader social and economic development1. NHS England will work closely with stakeholders to support implementation of the Pharmacy Technician Workforce Development </w:t>
      </w:r>
      <w:r w:rsidR="702611E6" w:rsidRPr="00AEC026">
        <w:rPr>
          <w:rFonts w:asciiTheme="minorHAnsi" w:hAnsiTheme="minorHAnsi" w:cstheme="minorBidi"/>
          <w:sz w:val="28"/>
          <w:szCs w:val="28"/>
        </w:rPr>
        <w:t>Programme</w:t>
      </w:r>
      <w:r w:rsidRPr="00AEC026">
        <w:rPr>
          <w:rFonts w:asciiTheme="minorHAnsi" w:hAnsiTheme="minorHAnsi" w:cstheme="minorBidi"/>
          <w:sz w:val="28"/>
          <w:szCs w:val="28"/>
        </w:rPr>
        <w:t xml:space="preserve"> which should in turn support delivery of the ten outcomes-based functions for ‘one workforce’</w:t>
      </w:r>
      <w:r w:rsidRPr="00AEC026">
        <w:rPr>
          <w:rFonts w:asciiTheme="minorHAnsi" w:hAnsiTheme="minorHAnsi" w:cstheme="minorBidi"/>
          <w:sz w:val="28"/>
          <w:szCs w:val="28"/>
          <w:vertAlign w:val="superscript"/>
        </w:rPr>
        <w:t>6</w:t>
      </w:r>
      <w:r w:rsidRPr="00AEC026">
        <w:rPr>
          <w:rFonts w:asciiTheme="minorHAnsi" w:hAnsiTheme="minorHAnsi" w:cstheme="minorBidi"/>
          <w:sz w:val="28"/>
          <w:szCs w:val="28"/>
        </w:rPr>
        <w:t>.</w:t>
      </w:r>
    </w:p>
    <w:p w14:paraId="302893C1" w14:textId="77777777" w:rsidR="00BE3C57" w:rsidRPr="003F3B50" w:rsidRDefault="00BE3C57" w:rsidP="00290D9C">
      <w:pPr>
        <w:pStyle w:val="h2numbered"/>
        <w:numPr>
          <w:ilvl w:val="0"/>
          <w:numId w:val="0"/>
        </w:numPr>
      </w:pPr>
      <w:bookmarkStart w:id="20" w:name="_Toc164757288"/>
      <w:r w:rsidRPr="003F3B50">
        <w:t>Agile approach to long-term planning</w:t>
      </w:r>
      <w:bookmarkEnd w:id="20"/>
      <w:r w:rsidRPr="003F3B50">
        <w:t xml:space="preserve"> </w:t>
      </w:r>
    </w:p>
    <w:p w14:paraId="1FB93319" w14:textId="65BE5BEE" w:rsidR="00BE3C57" w:rsidRPr="00290D9C" w:rsidRDefault="4098B592" w:rsidP="00AEC026">
      <w:pPr>
        <w:rPr>
          <w:rFonts w:asciiTheme="minorHAnsi" w:hAnsiTheme="minorHAnsi" w:cstheme="minorBidi"/>
          <w:sz w:val="28"/>
          <w:szCs w:val="28"/>
        </w:rPr>
      </w:pPr>
      <w:r w:rsidRPr="00AEC026">
        <w:rPr>
          <w:rFonts w:asciiTheme="minorHAnsi" w:hAnsiTheme="minorHAnsi" w:cstheme="minorBidi"/>
          <w:sz w:val="28"/>
          <w:szCs w:val="28"/>
        </w:rPr>
        <w:t xml:space="preserve">This </w:t>
      </w:r>
      <w:r w:rsidR="45C66B88" w:rsidRPr="00AEC026">
        <w:rPr>
          <w:rFonts w:asciiTheme="minorHAnsi" w:hAnsiTheme="minorHAnsi" w:cstheme="minorBidi"/>
          <w:sz w:val="28"/>
          <w:szCs w:val="28"/>
        </w:rPr>
        <w:t>programme</w:t>
      </w:r>
      <w:r w:rsidRPr="00AEC026">
        <w:rPr>
          <w:rFonts w:asciiTheme="minorHAnsi" w:hAnsiTheme="minorHAnsi" w:cstheme="minorBidi"/>
          <w:sz w:val="28"/>
          <w:szCs w:val="28"/>
        </w:rPr>
        <w:t xml:space="preserve"> and the subsequent implementation plan will be reviewed in two years’ time, in line with NHS LTWP reviews, or sooner if there are material changes to pharmacy technician workforce development due to Initial Education and Training (IET) standards reforms by the regulator.</w:t>
      </w:r>
    </w:p>
    <w:p w14:paraId="1502E77D" w14:textId="77777777" w:rsidR="00BE3C57" w:rsidRPr="00290D9C" w:rsidRDefault="00BE3C57" w:rsidP="00290D9C">
      <w:pPr>
        <w:pStyle w:val="Heading2"/>
        <w:numPr>
          <w:ilvl w:val="0"/>
          <w:numId w:val="11"/>
        </w:numPr>
        <w:ind w:left="426" w:hanging="426"/>
      </w:pPr>
      <w:bookmarkStart w:id="21" w:name="_Toc149038775"/>
      <w:bookmarkStart w:id="22" w:name="_Toc164757289"/>
      <w:r w:rsidRPr="00290D9C">
        <w:t>RECOMMENDATIONS</w:t>
      </w:r>
      <w:bookmarkEnd w:id="21"/>
      <w:bookmarkEnd w:id="22"/>
      <w:r w:rsidRPr="00290D9C">
        <w:t xml:space="preserve"> </w:t>
      </w:r>
    </w:p>
    <w:p w14:paraId="1F9D2A29" w14:textId="41F78A73" w:rsidR="00BE3C57" w:rsidRDefault="4098B592" w:rsidP="00290D9C">
      <w:r w:rsidRPr="00AEC026">
        <w:rPr>
          <w:rFonts w:asciiTheme="minorHAnsi" w:hAnsiTheme="minorHAnsi" w:cstheme="minorBidi"/>
          <w:sz w:val="28"/>
          <w:szCs w:val="28"/>
        </w:rPr>
        <w:t xml:space="preserve">Recommendations are short-term and intended to be achieved in the next 1 – 3 years. Long-term objectives are to be achieved in the next 5 – 10 years so will be included as specific recommendations in the next iteration of this </w:t>
      </w:r>
      <w:r w:rsidR="57A9879E" w:rsidRPr="00AEC026">
        <w:rPr>
          <w:rFonts w:asciiTheme="minorHAnsi" w:hAnsiTheme="minorHAnsi" w:cstheme="minorBidi"/>
          <w:sz w:val="28"/>
          <w:szCs w:val="28"/>
        </w:rPr>
        <w:t>programme</w:t>
      </w:r>
      <w:r w:rsidRPr="00AEC026">
        <w:rPr>
          <w:rFonts w:asciiTheme="minorHAnsi" w:hAnsiTheme="minorHAnsi" w:cstheme="minorBidi"/>
          <w:sz w:val="28"/>
          <w:szCs w:val="28"/>
        </w:rPr>
        <w:t>, after the next review of the NHS LTWP</w:t>
      </w:r>
      <w:r>
        <w:t>.</w:t>
      </w:r>
    </w:p>
    <w:p w14:paraId="6B673139" w14:textId="77777777" w:rsidR="00BE3C57" w:rsidRPr="00290D9C" w:rsidRDefault="00BE3C57" w:rsidP="00290D9C">
      <w:pPr>
        <w:rPr>
          <w:rFonts w:asciiTheme="minorHAnsi" w:hAnsiTheme="minorHAnsi" w:cstheme="minorHAnsi"/>
          <w:sz w:val="28"/>
          <w:szCs w:val="28"/>
        </w:rPr>
      </w:pPr>
      <w:r w:rsidRPr="00290D9C">
        <w:rPr>
          <w:rFonts w:asciiTheme="minorHAnsi" w:hAnsiTheme="minorHAnsi" w:cstheme="minorHAnsi"/>
          <w:sz w:val="28"/>
          <w:szCs w:val="28"/>
        </w:rPr>
        <w:t xml:space="preserve">The priorities to focus on </w:t>
      </w:r>
      <w:proofErr w:type="gramStart"/>
      <w:r w:rsidRPr="00290D9C">
        <w:rPr>
          <w:rFonts w:asciiTheme="minorHAnsi" w:hAnsiTheme="minorHAnsi" w:cstheme="minorHAnsi"/>
          <w:sz w:val="28"/>
          <w:szCs w:val="28"/>
        </w:rPr>
        <w:t>in the near future</w:t>
      </w:r>
      <w:proofErr w:type="gramEnd"/>
      <w:r w:rsidRPr="00290D9C">
        <w:rPr>
          <w:rFonts w:asciiTheme="minorHAnsi" w:hAnsiTheme="minorHAnsi" w:cstheme="minorHAnsi"/>
          <w:sz w:val="28"/>
          <w:szCs w:val="28"/>
        </w:rPr>
        <w:t xml:space="preserve"> are:</w:t>
      </w:r>
    </w:p>
    <w:p w14:paraId="70D838BD" w14:textId="22D176B8" w:rsidR="00BE3C57" w:rsidRPr="00290D9C" w:rsidRDefault="00BE3C57" w:rsidP="00290D9C">
      <w:pPr>
        <w:pStyle w:val="h2numbered"/>
        <w:numPr>
          <w:ilvl w:val="0"/>
          <w:numId w:val="0"/>
        </w:numPr>
        <w:rPr>
          <w:bCs/>
        </w:rPr>
      </w:pPr>
      <w:bookmarkStart w:id="23" w:name="_Toc149038776"/>
      <w:bookmarkStart w:id="24" w:name="_Toc164757290"/>
      <w:r w:rsidRPr="00290D9C">
        <w:t>Train – Growing the workforce</w:t>
      </w:r>
      <w:bookmarkEnd w:id="23"/>
      <w:bookmarkEnd w:id="24"/>
    </w:p>
    <w:p w14:paraId="32058D31" w14:textId="77777777" w:rsidR="00BE3C57" w:rsidRPr="00290D9C" w:rsidRDefault="00BE3C57" w:rsidP="00290D9C">
      <w:pPr>
        <w:pStyle w:val="ListParagraph"/>
        <w:numPr>
          <w:ilvl w:val="0"/>
          <w:numId w:val="10"/>
        </w:numPr>
        <w:spacing w:after="280"/>
        <w:ind w:left="426"/>
        <w:rPr>
          <w:rFonts w:asciiTheme="minorHAnsi" w:hAnsiTheme="minorHAnsi" w:cstheme="minorHAnsi"/>
          <w:sz w:val="28"/>
          <w:szCs w:val="28"/>
        </w:rPr>
      </w:pPr>
      <w:r w:rsidRPr="00290D9C">
        <w:rPr>
          <w:rFonts w:asciiTheme="minorHAnsi" w:hAnsiTheme="minorHAnsi" w:cstheme="minorHAnsi"/>
          <w:sz w:val="28"/>
          <w:szCs w:val="28"/>
        </w:rPr>
        <w:t>Expand workforce numbers through PTPT apprenticeships, underpinned by a standardised education curriculum framework.</w:t>
      </w:r>
    </w:p>
    <w:p w14:paraId="1A06653F" w14:textId="77777777" w:rsidR="00BE3C57" w:rsidRPr="00290D9C" w:rsidRDefault="00BE3C57" w:rsidP="00290D9C">
      <w:pPr>
        <w:pStyle w:val="ListParagraph"/>
        <w:numPr>
          <w:ilvl w:val="0"/>
          <w:numId w:val="10"/>
        </w:numPr>
        <w:spacing w:after="280"/>
        <w:ind w:left="426"/>
        <w:rPr>
          <w:rFonts w:asciiTheme="minorHAnsi" w:hAnsiTheme="minorHAnsi" w:cstheme="minorHAnsi"/>
          <w:sz w:val="28"/>
          <w:szCs w:val="28"/>
        </w:rPr>
      </w:pPr>
      <w:r w:rsidRPr="00290D9C">
        <w:rPr>
          <w:rFonts w:asciiTheme="minorHAnsi" w:hAnsiTheme="minorHAnsi" w:cstheme="minorHAnsi"/>
          <w:sz w:val="28"/>
          <w:szCs w:val="28"/>
        </w:rPr>
        <w:t>Promote pharmacy technician careers.</w:t>
      </w:r>
    </w:p>
    <w:p w14:paraId="0266F091" w14:textId="7B745265" w:rsidR="00BE3C57" w:rsidRPr="00290D9C" w:rsidRDefault="00BE3C57" w:rsidP="00290D9C">
      <w:pPr>
        <w:pStyle w:val="h2numbered"/>
        <w:numPr>
          <w:ilvl w:val="0"/>
          <w:numId w:val="0"/>
        </w:numPr>
      </w:pPr>
      <w:bookmarkStart w:id="25" w:name="_Toc149038777"/>
      <w:bookmarkStart w:id="26" w:name="_Toc164757291"/>
      <w:r w:rsidRPr="00290D9C">
        <w:lastRenderedPageBreak/>
        <w:t>Retain – Embedding the right culture and improving retention</w:t>
      </w:r>
      <w:bookmarkEnd w:id="25"/>
      <w:bookmarkEnd w:id="26"/>
    </w:p>
    <w:p w14:paraId="42279383" w14:textId="77777777" w:rsidR="00BE3C57" w:rsidRPr="00290D9C" w:rsidRDefault="00BE3C57" w:rsidP="00290D9C">
      <w:pPr>
        <w:pStyle w:val="ListParagraph"/>
        <w:numPr>
          <w:ilvl w:val="0"/>
          <w:numId w:val="10"/>
        </w:numPr>
        <w:spacing w:after="280"/>
        <w:ind w:left="426"/>
        <w:rPr>
          <w:rFonts w:asciiTheme="minorHAnsi" w:hAnsiTheme="minorHAnsi" w:cstheme="minorHAnsi"/>
          <w:sz w:val="28"/>
          <w:szCs w:val="28"/>
        </w:rPr>
      </w:pPr>
      <w:r w:rsidRPr="00290D9C">
        <w:rPr>
          <w:rFonts w:asciiTheme="minorHAnsi" w:hAnsiTheme="minorHAnsi" w:cstheme="minorHAnsi"/>
          <w:sz w:val="28"/>
          <w:szCs w:val="28"/>
        </w:rPr>
        <w:t>Provide leadership, fellowship and management training and development opportunities.</w:t>
      </w:r>
    </w:p>
    <w:p w14:paraId="0352E236" w14:textId="77777777" w:rsidR="00BE3C57" w:rsidRPr="00290D9C" w:rsidRDefault="00BE3C57" w:rsidP="00290D9C">
      <w:pPr>
        <w:pStyle w:val="ListParagraph"/>
        <w:numPr>
          <w:ilvl w:val="0"/>
          <w:numId w:val="10"/>
        </w:numPr>
        <w:spacing w:after="280"/>
        <w:ind w:left="426"/>
        <w:rPr>
          <w:rFonts w:asciiTheme="minorHAnsi" w:hAnsiTheme="minorHAnsi" w:cstheme="minorHAnsi"/>
          <w:sz w:val="28"/>
          <w:szCs w:val="28"/>
        </w:rPr>
      </w:pPr>
      <w:r w:rsidRPr="00290D9C">
        <w:rPr>
          <w:rFonts w:asciiTheme="minorHAnsi" w:hAnsiTheme="minorHAnsi" w:cstheme="minorHAnsi"/>
          <w:sz w:val="28"/>
          <w:szCs w:val="28"/>
        </w:rPr>
        <w:t>Commission the creation of funded development pathways from the point of registration to beyond, underpinned by career framework(s).</w:t>
      </w:r>
    </w:p>
    <w:p w14:paraId="1DBCDF07" w14:textId="77777777" w:rsidR="00BE3C57" w:rsidRPr="00290D9C" w:rsidRDefault="00BE3C57" w:rsidP="00290D9C">
      <w:pPr>
        <w:pStyle w:val="ListParagraph"/>
        <w:numPr>
          <w:ilvl w:val="0"/>
          <w:numId w:val="10"/>
        </w:numPr>
        <w:spacing w:after="280"/>
        <w:ind w:left="426"/>
        <w:rPr>
          <w:rFonts w:asciiTheme="minorHAnsi" w:hAnsiTheme="minorHAnsi" w:cstheme="minorHAnsi"/>
          <w:sz w:val="28"/>
          <w:szCs w:val="28"/>
        </w:rPr>
      </w:pPr>
      <w:r w:rsidRPr="00290D9C">
        <w:rPr>
          <w:rFonts w:asciiTheme="minorHAnsi" w:hAnsiTheme="minorHAnsi" w:cstheme="minorHAnsi"/>
          <w:sz w:val="28"/>
          <w:szCs w:val="28"/>
        </w:rPr>
        <w:t>Support initiatives to increase diversity within the profession and tackle discrimination.</w:t>
      </w:r>
    </w:p>
    <w:p w14:paraId="71C4C5DE" w14:textId="77777777" w:rsidR="00BE3C57" w:rsidRPr="00290D9C" w:rsidRDefault="00BE3C57" w:rsidP="00290D9C">
      <w:pPr>
        <w:pStyle w:val="h2numbered"/>
        <w:numPr>
          <w:ilvl w:val="0"/>
          <w:numId w:val="0"/>
        </w:numPr>
        <w:rPr>
          <w:bCs/>
        </w:rPr>
      </w:pPr>
      <w:bookmarkStart w:id="27" w:name="_Toc149038778"/>
      <w:bookmarkStart w:id="28" w:name="_Toc164757292"/>
      <w:r w:rsidRPr="00290D9C">
        <w:t>Reform – Working and training differently</w:t>
      </w:r>
      <w:bookmarkEnd w:id="27"/>
      <w:bookmarkEnd w:id="28"/>
    </w:p>
    <w:p w14:paraId="24E7BA94" w14:textId="77777777" w:rsidR="00BE3C57" w:rsidRPr="00290D9C" w:rsidRDefault="00BE3C57" w:rsidP="00290D9C">
      <w:pPr>
        <w:pStyle w:val="ListParagraph"/>
        <w:numPr>
          <w:ilvl w:val="0"/>
          <w:numId w:val="10"/>
        </w:numPr>
        <w:spacing w:after="280"/>
        <w:ind w:left="426"/>
        <w:rPr>
          <w:rFonts w:asciiTheme="minorHAnsi" w:hAnsiTheme="minorHAnsi" w:cstheme="minorHAnsi"/>
          <w:sz w:val="28"/>
          <w:szCs w:val="28"/>
        </w:rPr>
      </w:pPr>
      <w:r w:rsidRPr="00290D9C">
        <w:rPr>
          <w:rFonts w:asciiTheme="minorHAnsi" w:hAnsiTheme="minorHAnsi" w:cstheme="minorHAnsi"/>
          <w:sz w:val="28"/>
          <w:szCs w:val="28"/>
        </w:rPr>
        <w:t>Commission training in clinical skills and professional confidence, in readiness for national healthcare reforms.</w:t>
      </w:r>
    </w:p>
    <w:p w14:paraId="68ED8D04" w14:textId="77777777" w:rsidR="00BE3C57" w:rsidRPr="00331EDA" w:rsidRDefault="00BE3C57" w:rsidP="00290D9C">
      <w:pPr>
        <w:pStyle w:val="ListParagraph"/>
        <w:numPr>
          <w:ilvl w:val="0"/>
          <w:numId w:val="10"/>
        </w:numPr>
        <w:spacing w:after="280"/>
        <w:ind w:left="426"/>
        <w:rPr>
          <w:rFonts w:cs="Arial"/>
          <w:lang w:val="en-US"/>
        </w:rPr>
      </w:pPr>
      <w:r w:rsidRPr="00290D9C">
        <w:rPr>
          <w:rFonts w:asciiTheme="minorHAnsi" w:hAnsiTheme="minorHAnsi" w:cstheme="minorHAnsi"/>
          <w:sz w:val="28"/>
          <w:szCs w:val="28"/>
        </w:rPr>
        <w:t>Promote the uptake of available mental health and learning disabilities training.</w:t>
      </w:r>
      <w:r>
        <w:br w:type="page"/>
      </w:r>
    </w:p>
    <w:p w14:paraId="7C47B6B4" w14:textId="77777777" w:rsidR="00BE3C57" w:rsidRPr="00A72D88" w:rsidRDefault="00BE3C57" w:rsidP="00290D9C">
      <w:pPr>
        <w:pStyle w:val="Heading2"/>
      </w:pPr>
      <w:bookmarkStart w:id="29" w:name="_Toc149038779"/>
      <w:bookmarkStart w:id="30" w:name="_Toc164757293"/>
      <w:r w:rsidRPr="00A72D88">
        <w:lastRenderedPageBreak/>
        <w:t>REFERENCES</w:t>
      </w:r>
      <w:bookmarkEnd w:id="29"/>
      <w:bookmarkEnd w:id="30"/>
    </w:p>
    <w:p w14:paraId="663918F1" w14:textId="77777777" w:rsidR="00BE3C57" w:rsidRPr="00290D9C" w:rsidRDefault="00BE3C57" w:rsidP="00290D9C">
      <w:pPr>
        <w:pStyle w:val="ListParagraph"/>
        <w:numPr>
          <w:ilvl w:val="0"/>
          <w:numId w:val="6"/>
        </w:numPr>
        <w:spacing w:after="280"/>
        <w:ind w:left="714" w:hanging="357"/>
        <w:textboxTightWrap w:val="none"/>
        <w:rPr>
          <w:rFonts w:asciiTheme="minorHAnsi" w:hAnsiTheme="minorHAnsi" w:cstheme="minorHAnsi"/>
          <w:color w:val="auto"/>
          <w:sz w:val="28"/>
          <w:szCs w:val="28"/>
        </w:rPr>
      </w:pPr>
      <w:r w:rsidRPr="00290D9C">
        <w:rPr>
          <w:rFonts w:asciiTheme="minorHAnsi" w:hAnsiTheme="minorHAnsi" w:cstheme="minorHAnsi"/>
          <w:color w:val="242424"/>
          <w:sz w:val="28"/>
          <w:szCs w:val="28"/>
        </w:rPr>
        <w:t xml:space="preserve">NHS England. </w:t>
      </w:r>
      <w:r w:rsidRPr="00290D9C">
        <w:rPr>
          <w:rFonts w:asciiTheme="minorHAnsi" w:hAnsiTheme="minorHAnsi" w:cstheme="minorHAnsi"/>
          <w:i/>
          <w:iCs/>
          <w:color w:val="242424"/>
          <w:sz w:val="28"/>
          <w:szCs w:val="28"/>
        </w:rPr>
        <w:t>NHS Long Term Workforce Plan.</w:t>
      </w:r>
      <w:r w:rsidRPr="00290D9C">
        <w:rPr>
          <w:rFonts w:asciiTheme="minorHAnsi" w:hAnsiTheme="minorHAnsi" w:cstheme="minorHAnsi"/>
          <w:color w:val="242424"/>
          <w:sz w:val="28"/>
          <w:szCs w:val="28"/>
        </w:rPr>
        <w:t xml:space="preserve"> [Internet]. NHS England; 2023. Last Updated: 30 June 2023. Available from:</w:t>
      </w:r>
      <w:r w:rsidRPr="00290D9C">
        <w:rPr>
          <w:rStyle w:val="Hyperlink"/>
          <w:rFonts w:cstheme="minorHAnsi"/>
          <w:sz w:val="28"/>
          <w:szCs w:val="28"/>
        </w:rPr>
        <w:t xml:space="preserve"> </w:t>
      </w:r>
      <w:hyperlink r:id="rId20" w:history="1">
        <w:r w:rsidRPr="00290D9C">
          <w:rPr>
            <w:rStyle w:val="Hyperlink"/>
            <w:rFonts w:cstheme="minorHAnsi"/>
            <w:sz w:val="28"/>
            <w:szCs w:val="28"/>
          </w:rPr>
          <w:t>https://www.england.nhs.uk/publication/nhs-long-term-workforce-plan/</w:t>
        </w:r>
      </w:hyperlink>
      <w:r w:rsidRPr="00290D9C">
        <w:rPr>
          <w:rFonts w:asciiTheme="minorHAnsi" w:hAnsiTheme="minorHAnsi" w:cstheme="minorHAnsi"/>
          <w:color w:val="242424"/>
          <w:sz w:val="28"/>
          <w:szCs w:val="28"/>
        </w:rPr>
        <w:t xml:space="preserve">  [Accessed 7 September 2023].</w:t>
      </w:r>
    </w:p>
    <w:p w14:paraId="377EB1A3" w14:textId="77777777" w:rsidR="00BE3C57" w:rsidRPr="00290D9C" w:rsidRDefault="00BE3C57" w:rsidP="00290D9C">
      <w:pPr>
        <w:pStyle w:val="ListParagraph"/>
        <w:numPr>
          <w:ilvl w:val="0"/>
          <w:numId w:val="6"/>
        </w:numPr>
        <w:spacing w:after="280"/>
        <w:ind w:left="714" w:hanging="357"/>
        <w:textboxTightWrap w:val="none"/>
        <w:rPr>
          <w:rFonts w:asciiTheme="minorHAnsi" w:hAnsiTheme="minorHAnsi" w:cstheme="minorHAnsi"/>
          <w:color w:val="242424"/>
          <w:sz w:val="28"/>
          <w:szCs w:val="28"/>
        </w:rPr>
      </w:pPr>
      <w:r w:rsidRPr="00290D9C">
        <w:rPr>
          <w:rFonts w:asciiTheme="minorHAnsi" w:hAnsiTheme="minorHAnsi" w:cstheme="minorHAnsi"/>
          <w:color w:val="242424"/>
          <w:sz w:val="28"/>
          <w:szCs w:val="28"/>
        </w:rPr>
        <w:t xml:space="preserve">NHS England. (2023). Delivery plan for recovering access to primary care. [Internet]. NHS England. Last Updated: 9 May 2023. Available from: </w:t>
      </w:r>
      <w:hyperlink r:id="rId21" w:history="1">
        <w:r w:rsidRPr="00290D9C">
          <w:rPr>
            <w:rStyle w:val="Hyperlink"/>
            <w:rFonts w:cstheme="minorHAnsi"/>
            <w:sz w:val="28"/>
            <w:szCs w:val="28"/>
          </w:rPr>
          <w:t>https://www.england.nhs.uk/wp-content/uploads/2023/05/PRN00283-delivery-plan-for-recovering-access-to-primary-care-may-2023.pdf</w:t>
        </w:r>
      </w:hyperlink>
      <w:r w:rsidRPr="00290D9C">
        <w:rPr>
          <w:rFonts w:asciiTheme="minorHAnsi" w:hAnsiTheme="minorHAnsi" w:cstheme="minorHAnsi"/>
          <w:color w:val="242424"/>
          <w:sz w:val="28"/>
          <w:szCs w:val="28"/>
        </w:rPr>
        <w:t xml:space="preserve"> [Accessed 7 September 2023].</w:t>
      </w:r>
    </w:p>
    <w:p w14:paraId="12719D20" w14:textId="77777777" w:rsidR="00BE3C57" w:rsidRPr="00290D9C" w:rsidRDefault="00BE3C57" w:rsidP="00290D9C">
      <w:pPr>
        <w:pStyle w:val="ListParagraph"/>
        <w:numPr>
          <w:ilvl w:val="0"/>
          <w:numId w:val="6"/>
        </w:numPr>
        <w:spacing w:after="280"/>
        <w:ind w:left="714" w:hanging="357"/>
        <w:textboxTightWrap w:val="none"/>
        <w:rPr>
          <w:rFonts w:asciiTheme="minorHAnsi" w:hAnsiTheme="minorHAnsi" w:cstheme="minorHAnsi"/>
          <w:color w:val="242424"/>
          <w:sz w:val="28"/>
          <w:szCs w:val="28"/>
        </w:rPr>
      </w:pPr>
      <w:r w:rsidRPr="00290D9C">
        <w:rPr>
          <w:rFonts w:asciiTheme="minorHAnsi" w:hAnsiTheme="minorHAnsi" w:cstheme="minorHAnsi"/>
          <w:color w:val="242424"/>
          <w:sz w:val="28"/>
          <w:szCs w:val="28"/>
        </w:rPr>
        <w:t xml:space="preserve">NHS England. </w:t>
      </w:r>
      <w:r w:rsidRPr="00290D9C">
        <w:rPr>
          <w:rFonts w:asciiTheme="minorHAnsi" w:hAnsiTheme="minorHAnsi" w:cstheme="minorHAnsi"/>
          <w:i/>
          <w:iCs/>
          <w:color w:val="242424"/>
          <w:sz w:val="28"/>
          <w:szCs w:val="28"/>
        </w:rPr>
        <w:t>Community Pharmacy Workforce Survey 2022 Key Findings</w:t>
      </w:r>
      <w:r w:rsidRPr="00290D9C">
        <w:rPr>
          <w:rFonts w:asciiTheme="minorHAnsi" w:hAnsiTheme="minorHAnsi" w:cstheme="minorHAnsi"/>
          <w:color w:val="242424"/>
          <w:sz w:val="28"/>
          <w:szCs w:val="28"/>
        </w:rPr>
        <w:t xml:space="preserve">. </w:t>
      </w:r>
      <w:r w:rsidRPr="00290D9C">
        <w:rPr>
          <w:rFonts w:asciiTheme="minorHAnsi" w:hAnsiTheme="minorHAnsi" w:cstheme="minorHAnsi"/>
          <w:sz w:val="28"/>
          <w:szCs w:val="28"/>
          <w:shd w:val="clear" w:color="auto" w:fill="FFFFFF"/>
        </w:rPr>
        <w:t>[PowerPoint presentation]. NHS England. Last updated September 2023.</w:t>
      </w:r>
      <w:r w:rsidRPr="00290D9C">
        <w:rPr>
          <w:rFonts w:asciiTheme="minorHAnsi" w:hAnsiTheme="minorHAnsi" w:cstheme="minorHAnsi"/>
          <w:b/>
          <w:bCs/>
          <w:sz w:val="28"/>
          <w:szCs w:val="28"/>
          <w:shd w:val="clear" w:color="auto" w:fill="FFFFFF"/>
        </w:rPr>
        <w:t xml:space="preserve"> </w:t>
      </w:r>
      <w:r w:rsidRPr="00290D9C">
        <w:rPr>
          <w:rFonts w:asciiTheme="minorHAnsi" w:hAnsiTheme="minorHAnsi" w:cstheme="minorHAnsi"/>
          <w:color w:val="242424"/>
          <w:sz w:val="28"/>
          <w:szCs w:val="28"/>
        </w:rPr>
        <w:t xml:space="preserve">Available from: </w:t>
      </w:r>
      <w:hyperlink r:id="rId22" w:history="1">
        <w:r w:rsidRPr="00290D9C">
          <w:rPr>
            <w:rStyle w:val="Hyperlink"/>
            <w:rFonts w:cstheme="minorHAnsi"/>
            <w:sz w:val="28"/>
            <w:szCs w:val="28"/>
          </w:rPr>
          <w:t>https://www.hee.nhs.uk/sites/default/files/documents/The%20Community%20Pharmacy%20Workforce%20Survey%202022%20Key%20findings%20presentation.pdf</w:t>
        </w:r>
      </w:hyperlink>
      <w:r w:rsidRPr="00290D9C">
        <w:rPr>
          <w:rFonts w:asciiTheme="minorHAnsi" w:hAnsiTheme="minorHAnsi" w:cstheme="minorHAnsi"/>
          <w:color w:val="242424"/>
          <w:sz w:val="28"/>
          <w:szCs w:val="28"/>
        </w:rPr>
        <w:t xml:space="preserve"> [Accessed 22 September 2023].</w:t>
      </w:r>
    </w:p>
    <w:p w14:paraId="2BA57F1C" w14:textId="77777777" w:rsidR="00BE3C57" w:rsidRPr="00290D9C" w:rsidRDefault="00BE3C57" w:rsidP="00290D9C">
      <w:pPr>
        <w:pStyle w:val="ListParagraph"/>
        <w:numPr>
          <w:ilvl w:val="0"/>
          <w:numId w:val="6"/>
        </w:numPr>
        <w:spacing w:after="280"/>
        <w:ind w:left="714" w:hanging="357"/>
        <w:textboxTightWrap w:val="none"/>
        <w:rPr>
          <w:rFonts w:asciiTheme="minorHAnsi" w:hAnsiTheme="minorHAnsi" w:cstheme="minorHAnsi"/>
          <w:color w:val="242424"/>
          <w:sz w:val="28"/>
          <w:szCs w:val="28"/>
        </w:rPr>
      </w:pPr>
      <w:r w:rsidRPr="00290D9C">
        <w:rPr>
          <w:rFonts w:asciiTheme="minorHAnsi" w:hAnsiTheme="minorHAnsi" w:cstheme="minorHAnsi"/>
          <w:color w:val="242424"/>
          <w:sz w:val="28"/>
          <w:szCs w:val="28"/>
        </w:rPr>
        <w:t xml:space="preserve">NHS England. </w:t>
      </w:r>
      <w:r w:rsidRPr="00290D9C">
        <w:rPr>
          <w:rFonts w:asciiTheme="minorHAnsi" w:hAnsiTheme="minorHAnsi" w:cstheme="minorHAnsi"/>
          <w:i/>
          <w:iCs/>
          <w:color w:val="242424"/>
          <w:sz w:val="28"/>
          <w:szCs w:val="28"/>
        </w:rPr>
        <w:t xml:space="preserve">NHS Workforce Race Equality Standard (WRES) 2022 data analysis </w:t>
      </w:r>
      <w:r w:rsidRPr="00290D9C">
        <w:rPr>
          <w:rFonts w:asciiTheme="minorHAnsi" w:hAnsiTheme="minorHAnsi" w:cstheme="minorHAnsi"/>
          <w:color w:val="242424"/>
          <w:sz w:val="28"/>
          <w:szCs w:val="28"/>
        </w:rPr>
        <w:t xml:space="preserve">report for NHS trusts [Internet]. Health Education England; 2023 [cited 2023 Sept 22]. Available from: </w:t>
      </w:r>
      <w:hyperlink r:id="rId23" w:history="1">
        <w:r w:rsidRPr="00290D9C">
          <w:rPr>
            <w:rStyle w:val="Hyperlink"/>
            <w:rFonts w:cstheme="minorHAnsi"/>
            <w:sz w:val="28"/>
            <w:szCs w:val="28"/>
          </w:rPr>
          <w:t>https://www.england.nhs.uk/wp-content/uploads/2023/02/workforce-race-equality-standard.pdf</w:t>
        </w:r>
      </w:hyperlink>
      <w:r w:rsidRPr="00290D9C">
        <w:rPr>
          <w:rFonts w:asciiTheme="minorHAnsi" w:hAnsiTheme="minorHAnsi" w:cstheme="minorHAnsi"/>
          <w:color w:val="242424"/>
          <w:sz w:val="28"/>
          <w:szCs w:val="28"/>
        </w:rPr>
        <w:t xml:space="preserve"> [Accessed 22 September 2023].</w:t>
      </w:r>
    </w:p>
    <w:p w14:paraId="070A2EA4" w14:textId="77777777" w:rsidR="00BE3C57" w:rsidRPr="00290D9C" w:rsidRDefault="00BE3C57" w:rsidP="00290D9C">
      <w:pPr>
        <w:pStyle w:val="ListParagraph"/>
        <w:numPr>
          <w:ilvl w:val="0"/>
          <w:numId w:val="6"/>
        </w:numPr>
        <w:spacing w:after="280"/>
        <w:ind w:left="714" w:hanging="357"/>
        <w:textboxTightWrap w:val="none"/>
        <w:rPr>
          <w:rFonts w:asciiTheme="minorHAnsi" w:hAnsiTheme="minorHAnsi" w:cstheme="minorHAnsi"/>
          <w:color w:val="auto"/>
          <w:sz w:val="28"/>
          <w:szCs w:val="28"/>
        </w:rPr>
      </w:pPr>
      <w:r w:rsidRPr="00290D9C">
        <w:rPr>
          <w:rFonts w:asciiTheme="minorHAnsi" w:hAnsiTheme="minorHAnsi" w:cstheme="minorHAnsi"/>
          <w:color w:val="242424"/>
          <w:sz w:val="28"/>
          <w:szCs w:val="28"/>
        </w:rPr>
        <w:t>NHS England. Workforce Disability Equality Standard 2022 data analysis report for NHS trusts and foundation trusts [Internet]. NHS England; 2023. Last Updated: 7 September 2023. Available from:</w:t>
      </w:r>
      <w:r w:rsidRPr="00290D9C">
        <w:rPr>
          <w:rStyle w:val="Hyperlink"/>
          <w:rFonts w:cstheme="minorHAnsi"/>
          <w:sz w:val="28"/>
          <w:szCs w:val="28"/>
        </w:rPr>
        <w:t xml:space="preserve"> https://www.england.nhs.uk/publication/workforce-disability-equality-standard-2022-data-analysis-report-for-nhs-trusts-and-foundation-trusts/</w:t>
      </w:r>
      <w:r w:rsidRPr="00290D9C">
        <w:rPr>
          <w:rFonts w:asciiTheme="minorHAnsi" w:hAnsiTheme="minorHAnsi" w:cstheme="minorHAnsi"/>
          <w:color w:val="242424"/>
          <w:sz w:val="28"/>
          <w:szCs w:val="28"/>
        </w:rPr>
        <w:t xml:space="preserve"> [Accessed 22 September 2023].</w:t>
      </w:r>
    </w:p>
    <w:p w14:paraId="2CABF869" w14:textId="77777777" w:rsidR="00BE3C57" w:rsidRDefault="00BE3C57" w:rsidP="00290D9C">
      <w:pPr>
        <w:pStyle w:val="ListParagraph"/>
        <w:numPr>
          <w:ilvl w:val="0"/>
          <w:numId w:val="6"/>
        </w:numPr>
        <w:spacing w:after="280"/>
        <w:ind w:left="714" w:hanging="357"/>
        <w:textboxTightWrap w:val="none"/>
        <w:rPr>
          <w:rFonts w:asciiTheme="minorHAnsi" w:hAnsiTheme="minorHAnsi" w:cstheme="minorHAnsi"/>
          <w:color w:val="242424"/>
          <w:sz w:val="28"/>
          <w:szCs w:val="28"/>
        </w:rPr>
      </w:pPr>
      <w:r w:rsidRPr="00290D9C">
        <w:rPr>
          <w:rFonts w:asciiTheme="minorHAnsi" w:hAnsiTheme="minorHAnsi" w:cstheme="minorHAnsi"/>
          <w:color w:val="242424"/>
          <w:sz w:val="28"/>
          <w:szCs w:val="28"/>
        </w:rPr>
        <w:t xml:space="preserve">NHS England. </w:t>
      </w:r>
      <w:r w:rsidRPr="00290D9C">
        <w:rPr>
          <w:rFonts w:asciiTheme="minorHAnsi" w:hAnsiTheme="minorHAnsi" w:cstheme="minorHAnsi"/>
          <w:i/>
          <w:iCs/>
          <w:color w:val="242424"/>
          <w:sz w:val="28"/>
          <w:szCs w:val="28"/>
        </w:rPr>
        <w:t>Building strong integrated care systems everywhere: guidance on the ICS people function</w:t>
      </w:r>
      <w:r w:rsidRPr="00290D9C">
        <w:rPr>
          <w:rFonts w:asciiTheme="minorHAnsi" w:hAnsiTheme="minorHAnsi" w:cstheme="minorHAnsi"/>
          <w:color w:val="242424"/>
          <w:sz w:val="28"/>
          <w:szCs w:val="28"/>
        </w:rPr>
        <w:t xml:space="preserve">. [Internet]. NHS England; 2021. Last Updated: August 2021. Available from: </w:t>
      </w:r>
      <w:hyperlink r:id="rId24" w:anchor="heading-11" w:history="1">
        <w:r w:rsidRPr="00290D9C">
          <w:rPr>
            <w:rStyle w:val="Hyperlink"/>
            <w:rFonts w:cstheme="minorHAnsi"/>
            <w:sz w:val="28"/>
            <w:szCs w:val="28"/>
          </w:rPr>
          <w:t>https://www.england.nhs.uk/publication/integrated-care-systems-guidance/#heading-11</w:t>
        </w:r>
      </w:hyperlink>
      <w:r w:rsidRPr="00290D9C">
        <w:rPr>
          <w:rFonts w:asciiTheme="minorHAnsi" w:hAnsiTheme="minorHAnsi" w:cstheme="minorHAnsi"/>
          <w:color w:val="242424"/>
          <w:sz w:val="28"/>
          <w:szCs w:val="28"/>
        </w:rPr>
        <w:t xml:space="preserve"> [Accessed 22 September 2023].</w:t>
      </w:r>
    </w:p>
    <w:p w14:paraId="64650607" w14:textId="77777777" w:rsidR="00290D9C" w:rsidRDefault="00290D9C" w:rsidP="00290D9C">
      <w:pPr>
        <w:textboxTightWrap w:val="none"/>
        <w:rPr>
          <w:rFonts w:asciiTheme="minorHAnsi" w:hAnsiTheme="minorHAnsi" w:cstheme="minorHAnsi"/>
          <w:color w:val="242424"/>
          <w:sz w:val="28"/>
          <w:szCs w:val="28"/>
        </w:rPr>
      </w:pPr>
    </w:p>
    <w:p w14:paraId="72C54113" w14:textId="2C54CF6E" w:rsidR="00290D9C" w:rsidRPr="00F53161" w:rsidRDefault="00290D9C" w:rsidP="00290D9C">
      <w:pPr>
        <w:pStyle w:val="Heading2"/>
        <w:rPr>
          <w:lang w:eastAsia="en-GB"/>
        </w:rPr>
      </w:pPr>
      <w:bookmarkStart w:id="31" w:name="_Toc29480077"/>
      <w:bookmarkStart w:id="32" w:name="_Toc155189625"/>
      <w:bookmarkStart w:id="33" w:name="_Toc159852065"/>
      <w:bookmarkStart w:id="34" w:name="_Toc164757294"/>
      <w:r>
        <w:rPr>
          <w:lang w:eastAsia="en-GB"/>
        </w:rPr>
        <w:lastRenderedPageBreak/>
        <w:t>DOCUMENT MANAGEMENT</w:t>
      </w:r>
      <w:bookmarkEnd w:id="31"/>
      <w:bookmarkEnd w:id="32"/>
      <w:bookmarkEnd w:id="33"/>
      <w:bookmarkEnd w:id="34"/>
    </w:p>
    <w:p w14:paraId="145E7270" w14:textId="77777777" w:rsidR="00290D9C" w:rsidRPr="00290D9C" w:rsidRDefault="00290D9C" w:rsidP="00290D9C">
      <w:pPr>
        <w:spacing w:before="120" w:after="120" w:line="240" w:lineRule="auto"/>
        <w:textboxTightWrap w:val="allLines"/>
        <w:rPr>
          <w:rFonts w:asciiTheme="minorHAnsi" w:hAnsiTheme="minorHAnsi" w:cstheme="minorHAnsi"/>
          <w:bCs/>
          <w:color w:val="auto"/>
          <w:sz w:val="28"/>
          <w:szCs w:val="28"/>
          <w:lang w:eastAsia="en-GB"/>
        </w:rPr>
      </w:pPr>
      <w:bookmarkStart w:id="35" w:name="_Toc350847280"/>
      <w:bookmarkStart w:id="36" w:name="_Toc350847324"/>
      <w:bookmarkStart w:id="37" w:name="_Toc29480078"/>
      <w:r w:rsidRPr="00290D9C">
        <w:rPr>
          <w:rFonts w:asciiTheme="minorHAnsi" w:hAnsiTheme="minorHAnsi" w:cstheme="minorHAnsi"/>
          <w:b/>
          <w:color w:val="auto"/>
          <w:sz w:val="28"/>
          <w:szCs w:val="28"/>
          <w:lang w:eastAsia="en-GB"/>
        </w:rPr>
        <w:t>Revisio</w:t>
      </w:r>
      <w:bookmarkEnd w:id="35"/>
      <w:bookmarkEnd w:id="36"/>
      <w:bookmarkEnd w:id="37"/>
      <w:r w:rsidRPr="00290D9C">
        <w:rPr>
          <w:rFonts w:asciiTheme="minorHAnsi" w:hAnsiTheme="minorHAnsi" w:cstheme="minorHAnsi"/>
          <w:b/>
          <w:color w:val="auto"/>
          <w:sz w:val="28"/>
          <w:szCs w:val="28"/>
          <w:lang w:eastAsia="en-GB"/>
        </w:rPr>
        <w:t>n history</w:t>
      </w:r>
    </w:p>
    <w:tbl>
      <w:tblPr>
        <w:tblW w:w="4903" w:type="pct"/>
        <w:tblInd w:w="108" w:type="dxa"/>
        <w:tblBorders>
          <w:top w:val="single" w:sz="2" w:space="0" w:color="B9B9B9"/>
          <w:bottom w:val="single" w:sz="2" w:space="0" w:color="B9B9B9"/>
          <w:insideH w:val="single" w:sz="2" w:space="0" w:color="B9B9B9"/>
        </w:tblBorders>
        <w:tblLook w:val="0000" w:firstRow="0" w:lastRow="0" w:firstColumn="0" w:lastColumn="0" w:noHBand="0" w:noVBand="0"/>
      </w:tblPr>
      <w:tblGrid>
        <w:gridCol w:w="4146"/>
        <w:gridCol w:w="5527"/>
      </w:tblGrid>
      <w:tr w:rsidR="005260D9" w:rsidRPr="00290D9C" w14:paraId="5DA6FF10" w14:textId="77777777" w:rsidTr="009715BC">
        <w:trPr>
          <w:trHeight w:val="290"/>
        </w:trPr>
        <w:tc>
          <w:tcPr>
            <w:tcW w:w="2143" w:type="pct"/>
            <w:tcBorders>
              <w:top w:val="single" w:sz="2" w:space="0" w:color="000000"/>
              <w:bottom w:val="single" w:sz="2" w:space="0" w:color="000000"/>
              <w:right w:val="nil"/>
            </w:tcBorders>
            <w:shd w:val="clear" w:color="auto" w:fill="0072C6"/>
          </w:tcPr>
          <w:p w14:paraId="0658E1F9" w14:textId="77777777" w:rsidR="005260D9" w:rsidRPr="00290D9C" w:rsidRDefault="005260D9" w:rsidP="00C914FA">
            <w:pPr>
              <w:tabs>
                <w:tab w:val="right" w:pos="14580"/>
              </w:tabs>
              <w:spacing w:before="60" w:after="60" w:line="240" w:lineRule="auto"/>
              <w:ind w:right="-108"/>
              <w:textboxTightWrap w:val="allLines"/>
              <w:rPr>
                <w:rFonts w:asciiTheme="minorHAnsi" w:eastAsia="SimSun" w:hAnsiTheme="minorHAnsi" w:cstheme="minorHAnsi"/>
                <w:b/>
                <w:bCs/>
                <w:color w:val="FFFFFF"/>
                <w:sz w:val="28"/>
                <w:szCs w:val="28"/>
                <w:lang w:eastAsia="en-GB"/>
              </w:rPr>
            </w:pPr>
            <w:r w:rsidRPr="00290D9C">
              <w:rPr>
                <w:rFonts w:asciiTheme="minorHAnsi" w:eastAsia="SimSun" w:hAnsiTheme="minorHAnsi" w:cstheme="minorHAnsi"/>
                <w:b/>
                <w:bCs/>
                <w:color w:val="FFFFFF"/>
                <w:sz w:val="28"/>
                <w:szCs w:val="28"/>
                <w:lang w:eastAsia="en-GB"/>
              </w:rPr>
              <w:t>Version</w:t>
            </w:r>
          </w:p>
        </w:tc>
        <w:tc>
          <w:tcPr>
            <w:tcW w:w="2857" w:type="pct"/>
            <w:tcBorders>
              <w:top w:val="single" w:sz="2" w:space="0" w:color="000000"/>
              <w:left w:val="nil"/>
              <w:bottom w:val="single" w:sz="2" w:space="0" w:color="000000"/>
              <w:right w:val="nil"/>
            </w:tcBorders>
            <w:shd w:val="clear" w:color="auto" w:fill="0072C6"/>
          </w:tcPr>
          <w:p w14:paraId="1AE1B22D" w14:textId="77777777" w:rsidR="005260D9" w:rsidRPr="00290D9C" w:rsidRDefault="005260D9" w:rsidP="00C914FA">
            <w:pPr>
              <w:tabs>
                <w:tab w:val="right" w:pos="14580"/>
              </w:tabs>
              <w:spacing w:before="60" w:after="60" w:line="240" w:lineRule="auto"/>
              <w:ind w:right="-108"/>
              <w:textboxTightWrap w:val="allLines"/>
              <w:rPr>
                <w:rFonts w:asciiTheme="minorHAnsi" w:eastAsia="SimSun" w:hAnsiTheme="minorHAnsi" w:cstheme="minorHAnsi"/>
                <w:b/>
                <w:bCs/>
                <w:color w:val="FFFFFF"/>
                <w:sz w:val="28"/>
                <w:szCs w:val="28"/>
                <w:lang w:eastAsia="en-GB"/>
              </w:rPr>
            </w:pPr>
            <w:r w:rsidRPr="00290D9C">
              <w:rPr>
                <w:rFonts w:asciiTheme="minorHAnsi" w:eastAsia="SimSun" w:hAnsiTheme="minorHAnsi" w:cstheme="minorHAnsi"/>
                <w:b/>
                <w:bCs/>
                <w:color w:val="FFFFFF"/>
                <w:sz w:val="28"/>
                <w:szCs w:val="28"/>
                <w:lang w:eastAsia="en-GB"/>
              </w:rPr>
              <w:t>Date</w:t>
            </w:r>
          </w:p>
        </w:tc>
      </w:tr>
      <w:tr w:rsidR="005260D9" w:rsidRPr="00290D9C" w14:paraId="31D43129" w14:textId="77777777" w:rsidTr="009715BC">
        <w:trPr>
          <w:trHeight w:val="290"/>
        </w:trPr>
        <w:tc>
          <w:tcPr>
            <w:tcW w:w="2143" w:type="pct"/>
            <w:tcBorders>
              <w:top w:val="single" w:sz="2" w:space="0" w:color="000000"/>
              <w:right w:val="single" w:sz="2" w:space="0" w:color="B9B9B9"/>
            </w:tcBorders>
            <w:vAlign w:val="center"/>
          </w:tcPr>
          <w:p w14:paraId="6A940052" w14:textId="11AA3FA6" w:rsidR="005260D9" w:rsidRPr="00290D9C" w:rsidRDefault="005260D9" w:rsidP="00C914FA">
            <w:pPr>
              <w:tabs>
                <w:tab w:val="right" w:pos="9000"/>
                <w:tab w:val="right" w:pos="14580"/>
              </w:tabs>
              <w:spacing w:before="60" w:after="60" w:line="240" w:lineRule="auto"/>
              <w:textboxTightWrap w:val="none"/>
              <w:rPr>
                <w:rFonts w:asciiTheme="minorHAnsi" w:eastAsia="SimSun" w:hAnsiTheme="minorHAnsi" w:cstheme="minorHAnsi"/>
                <w:color w:val="auto"/>
                <w:sz w:val="28"/>
                <w:szCs w:val="28"/>
              </w:rPr>
            </w:pPr>
            <w:r>
              <w:rPr>
                <w:rFonts w:asciiTheme="minorHAnsi" w:eastAsia="SimSun" w:hAnsiTheme="minorHAnsi" w:cstheme="minorHAnsi"/>
                <w:color w:val="auto"/>
                <w:sz w:val="28"/>
                <w:szCs w:val="28"/>
              </w:rPr>
              <w:t>1.0</w:t>
            </w:r>
          </w:p>
        </w:tc>
        <w:tc>
          <w:tcPr>
            <w:tcW w:w="2857" w:type="pct"/>
            <w:tcBorders>
              <w:top w:val="single" w:sz="2" w:space="0" w:color="000000"/>
              <w:left w:val="single" w:sz="2" w:space="0" w:color="B9B9B9"/>
              <w:right w:val="single" w:sz="2" w:space="0" w:color="B9B9B9"/>
            </w:tcBorders>
            <w:shd w:val="clear" w:color="auto" w:fill="auto"/>
            <w:vAlign w:val="center"/>
          </w:tcPr>
          <w:p w14:paraId="4ADD3F20" w14:textId="2A46B7FF" w:rsidR="005260D9" w:rsidRPr="00290D9C" w:rsidRDefault="005260D9" w:rsidP="00C914FA">
            <w:pPr>
              <w:tabs>
                <w:tab w:val="right" w:pos="9000"/>
                <w:tab w:val="right" w:pos="14580"/>
              </w:tabs>
              <w:spacing w:before="60" w:after="60" w:line="240" w:lineRule="auto"/>
              <w:textboxTightWrap w:val="none"/>
              <w:rPr>
                <w:rFonts w:asciiTheme="minorHAnsi" w:eastAsia="SimSun" w:hAnsiTheme="minorHAnsi" w:cstheme="minorHAnsi"/>
                <w:color w:val="auto"/>
                <w:sz w:val="28"/>
                <w:szCs w:val="28"/>
              </w:rPr>
            </w:pPr>
            <w:r>
              <w:rPr>
                <w:rFonts w:asciiTheme="minorHAnsi" w:eastAsia="SimSun" w:hAnsiTheme="minorHAnsi" w:cstheme="minorHAnsi"/>
                <w:color w:val="auto"/>
                <w:sz w:val="28"/>
                <w:szCs w:val="28"/>
              </w:rPr>
              <w:t>01/04/2024</w:t>
            </w:r>
          </w:p>
        </w:tc>
      </w:tr>
      <w:tr w:rsidR="005260D9" w:rsidRPr="00290D9C" w14:paraId="69C2CBA7" w14:textId="77777777" w:rsidTr="009715BC">
        <w:trPr>
          <w:trHeight w:val="290"/>
        </w:trPr>
        <w:tc>
          <w:tcPr>
            <w:tcW w:w="2143" w:type="pct"/>
            <w:tcBorders>
              <w:right w:val="single" w:sz="2" w:space="0" w:color="B9B9B9"/>
            </w:tcBorders>
            <w:vAlign w:val="center"/>
          </w:tcPr>
          <w:p w14:paraId="346EB029" w14:textId="668503F7" w:rsidR="005260D9" w:rsidRPr="00290D9C" w:rsidRDefault="005260D9" w:rsidP="00C914FA">
            <w:pPr>
              <w:tabs>
                <w:tab w:val="right" w:pos="9000"/>
                <w:tab w:val="right" w:pos="14580"/>
              </w:tabs>
              <w:spacing w:before="60" w:after="60" w:line="240" w:lineRule="auto"/>
              <w:textboxTightWrap w:val="none"/>
              <w:rPr>
                <w:rFonts w:asciiTheme="minorHAnsi" w:eastAsia="SimSun" w:hAnsiTheme="minorHAnsi" w:cstheme="minorHAnsi"/>
                <w:color w:val="auto"/>
                <w:sz w:val="28"/>
                <w:szCs w:val="28"/>
              </w:rPr>
            </w:pPr>
            <w:r>
              <w:rPr>
                <w:rFonts w:asciiTheme="minorHAnsi" w:eastAsia="SimSun" w:hAnsiTheme="minorHAnsi" w:cstheme="minorHAnsi"/>
                <w:color w:val="auto"/>
                <w:sz w:val="28"/>
                <w:szCs w:val="28"/>
              </w:rPr>
              <w:t>1.1</w:t>
            </w:r>
          </w:p>
        </w:tc>
        <w:tc>
          <w:tcPr>
            <w:tcW w:w="2857" w:type="pct"/>
            <w:tcBorders>
              <w:left w:val="single" w:sz="2" w:space="0" w:color="B9B9B9"/>
              <w:right w:val="single" w:sz="2" w:space="0" w:color="B9B9B9"/>
            </w:tcBorders>
            <w:shd w:val="clear" w:color="auto" w:fill="auto"/>
            <w:vAlign w:val="center"/>
          </w:tcPr>
          <w:p w14:paraId="1568EC90" w14:textId="0C009B39" w:rsidR="005260D9" w:rsidRPr="00290D9C" w:rsidRDefault="005260D9" w:rsidP="00C914FA">
            <w:pPr>
              <w:tabs>
                <w:tab w:val="right" w:pos="9000"/>
                <w:tab w:val="right" w:pos="14580"/>
              </w:tabs>
              <w:spacing w:before="60" w:after="60" w:line="240" w:lineRule="auto"/>
              <w:textboxTightWrap w:val="none"/>
              <w:rPr>
                <w:rFonts w:asciiTheme="minorHAnsi" w:eastAsia="SimSun" w:hAnsiTheme="minorHAnsi" w:cstheme="minorHAnsi"/>
                <w:color w:val="auto"/>
                <w:sz w:val="28"/>
                <w:szCs w:val="28"/>
              </w:rPr>
            </w:pPr>
            <w:r>
              <w:rPr>
                <w:rFonts w:asciiTheme="minorHAnsi" w:eastAsia="SimSun" w:hAnsiTheme="minorHAnsi" w:cstheme="minorHAnsi"/>
                <w:color w:val="auto"/>
                <w:sz w:val="28"/>
                <w:szCs w:val="28"/>
              </w:rPr>
              <w:t>31/10/2024</w:t>
            </w:r>
          </w:p>
        </w:tc>
      </w:tr>
    </w:tbl>
    <w:p w14:paraId="14EC16B2" w14:textId="77777777" w:rsidR="009715BC" w:rsidRDefault="009715BC" w:rsidP="00290D9C">
      <w:pPr>
        <w:keepLines/>
        <w:tabs>
          <w:tab w:val="right" w:pos="14580"/>
        </w:tabs>
        <w:spacing w:before="120" w:after="120" w:line="240" w:lineRule="auto"/>
        <w:textboxTightWrap w:val="none"/>
        <w:rPr>
          <w:rFonts w:asciiTheme="minorHAnsi" w:eastAsia="Calibri" w:hAnsiTheme="minorHAnsi" w:cstheme="minorHAnsi"/>
          <w:b/>
          <w:color w:val="auto"/>
          <w:sz w:val="28"/>
          <w:szCs w:val="28"/>
        </w:rPr>
      </w:pPr>
    </w:p>
    <w:p w14:paraId="5161F978" w14:textId="34F422E9" w:rsidR="00290D9C" w:rsidRPr="00290D9C" w:rsidRDefault="00290D9C" w:rsidP="00290D9C">
      <w:pPr>
        <w:keepLines/>
        <w:tabs>
          <w:tab w:val="right" w:pos="14580"/>
        </w:tabs>
        <w:spacing w:before="120" w:after="120" w:line="240" w:lineRule="auto"/>
        <w:textboxTightWrap w:val="none"/>
        <w:rPr>
          <w:rFonts w:asciiTheme="minorHAnsi" w:eastAsia="Calibri" w:hAnsiTheme="minorHAnsi" w:cstheme="minorHAnsi"/>
          <w:b/>
          <w:color w:val="auto"/>
          <w:sz w:val="28"/>
          <w:szCs w:val="28"/>
        </w:rPr>
      </w:pPr>
      <w:r w:rsidRPr="00290D9C">
        <w:rPr>
          <w:rFonts w:asciiTheme="minorHAnsi" w:eastAsia="Calibri" w:hAnsiTheme="minorHAnsi" w:cstheme="minorHAnsi"/>
          <w:b/>
          <w:color w:val="auto"/>
          <w:sz w:val="28"/>
          <w:szCs w:val="28"/>
        </w:rPr>
        <w:t>Document control</w:t>
      </w:r>
    </w:p>
    <w:p w14:paraId="6FFEABA8" w14:textId="68F6017F" w:rsidR="00BE3C57" w:rsidRDefault="00290D9C" w:rsidP="00872104">
      <w:pPr>
        <w:textboxTightWrap w:val="none"/>
      </w:pPr>
      <w:r w:rsidRPr="00290D9C">
        <w:rPr>
          <w:rFonts w:asciiTheme="minorHAnsi" w:hAnsiTheme="minorHAnsi" w:cstheme="minorHAnsi"/>
          <w:sz w:val="28"/>
          <w:szCs w:val="28"/>
        </w:rPr>
        <w:t>The controlled copy of this document is maintained by NHS England. Any copies of this document held outside of that area, in whatever format (e.g. paper, email attachment), are considered to have passed out of control and should be checked for currency and validity.</w:t>
      </w:r>
    </w:p>
    <w:sectPr w:rsidR="00BE3C57" w:rsidSect="000D7556">
      <w:headerReference w:type="default" r:id="rId25"/>
      <w:headerReference w:type="first" r:id="rId26"/>
      <w:footerReference w:type="first" r:id="rId27"/>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B5FB5" w14:textId="77777777" w:rsidR="00E95769" w:rsidRDefault="00E95769" w:rsidP="000C24AF">
      <w:pPr>
        <w:spacing w:after="0"/>
      </w:pPr>
      <w:r>
        <w:separator/>
      </w:r>
    </w:p>
  </w:endnote>
  <w:endnote w:type="continuationSeparator" w:id="0">
    <w:p w14:paraId="73728AE9" w14:textId="77777777" w:rsidR="00E95769" w:rsidRDefault="00E95769" w:rsidP="000C24AF">
      <w:pPr>
        <w:spacing w:after="0"/>
      </w:pPr>
      <w:r>
        <w:continuationSeparator/>
      </w:r>
    </w:p>
  </w:endnote>
  <w:endnote w:type="continuationNotice" w:id="1">
    <w:p w14:paraId="40A94F08" w14:textId="77777777" w:rsidR="00E95769" w:rsidRDefault="00E95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5"/>
      <w:gridCol w:w="3285"/>
      <w:gridCol w:w="3285"/>
    </w:tblGrid>
    <w:tr w:rsidR="7D6E309E" w14:paraId="1840D03C" w14:textId="77777777" w:rsidTr="7D6E309E">
      <w:trPr>
        <w:trHeight w:val="300"/>
      </w:trPr>
      <w:tc>
        <w:tcPr>
          <w:tcW w:w="3285" w:type="dxa"/>
        </w:tcPr>
        <w:p w14:paraId="2FF9738F" w14:textId="3CDCC517" w:rsidR="7D6E309E" w:rsidRDefault="7D6E309E" w:rsidP="7D6E309E">
          <w:pPr>
            <w:pStyle w:val="Header"/>
            <w:ind w:left="-115"/>
          </w:pPr>
        </w:p>
      </w:tc>
      <w:tc>
        <w:tcPr>
          <w:tcW w:w="3285" w:type="dxa"/>
        </w:tcPr>
        <w:p w14:paraId="26EE5F72" w14:textId="24281C40" w:rsidR="7D6E309E" w:rsidRDefault="7D6E309E" w:rsidP="7D6E309E">
          <w:pPr>
            <w:pStyle w:val="Header"/>
            <w:jc w:val="center"/>
          </w:pPr>
        </w:p>
      </w:tc>
      <w:tc>
        <w:tcPr>
          <w:tcW w:w="3285" w:type="dxa"/>
        </w:tcPr>
        <w:p w14:paraId="2FCF0380" w14:textId="1541421E" w:rsidR="7D6E309E" w:rsidRDefault="7D6E309E" w:rsidP="7D6E309E">
          <w:pPr>
            <w:pStyle w:val="Header"/>
            <w:ind w:right="-115"/>
            <w:jc w:val="right"/>
          </w:pPr>
        </w:p>
      </w:tc>
    </w:tr>
  </w:tbl>
  <w:p w14:paraId="1B910389" w14:textId="2E9F65FF" w:rsidR="7D6E309E" w:rsidRDefault="7D6E309E" w:rsidP="7D6E3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7F3A" w14:textId="77777777" w:rsidR="00603A2C" w:rsidRDefault="00603A2C" w:rsidP="00603A2C">
    <w:pPr>
      <w:pStyle w:val="Footer"/>
      <w:pBdr>
        <w:top w:val="single" w:sz="4" w:space="1" w:color="005EB8"/>
      </w:pBdr>
    </w:pPr>
  </w:p>
  <w:p w14:paraId="2C779197" w14:textId="11792749" w:rsidR="00B72132" w:rsidRPr="00AC35F8" w:rsidRDefault="27E9BEE4" w:rsidP="27E9BEE4">
    <w:pPr>
      <w:pStyle w:val="Footer"/>
      <w:rPr>
        <w:sz w:val="24"/>
      </w:rPr>
    </w:pPr>
    <w:r w:rsidRPr="27E9BEE4">
      <w:rPr>
        <w:sz w:val="24"/>
      </w:rPr>
      <w:t>Reference: WTE Pharmacy Technician Workforce Development Programme 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Content>
      <w:p w14:paraId="150FC326" w14:textId="77777777" w:rsidR="008A3E2F" w:rsidRDefault="008A3E2F" w:rsidP="008A3E2F">
        <w:pPr>
          <w:pStyle w:val="Footer"/>
          <w:pBdr>
            <w:top w:val="single" w:sz="4" w:space="1" w:color="005EB8"/>
          </w:pBdr>
        </w:pPr>
      </w:p>
      <w:p w14:paraId="18BE3C83" w14:textId="77777777" w:rsidR="00B72132" w:rsidRPr="008A3E2F" w:rsidRDefault="008A3E2F" w:rsidP="008A3E2F">
        <w:pPr>
          <w:pStyle w:val="Footer"/>
        </w:pPr>
        <w:r w:rsidRPr="00AC35F8">
          <w:rPr>
            <w:sz w:val="24"/>
          </w:rPr>
          <w:t>© NHS England 202</w:t>
        </w:r>
        <w:r w:rsidR="0053499D" w:rsidRPr="00AC35F8">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Content>
      <w:p w14:paraId="1CA9E805" w14:textId="77777777" w:rsidR="00603A2C" w:rsidRDefault="00603A2C" w:rsidP="00603A2C">
        <w:pPr>
          <w:pStyle w:val="Footer"/>
          <w:pBdr>
            <w:top w:val="single" w:sz="4" w:space="1" w:color="005EB8"/>
          </w:pBdr>
        </w:pPr>
      </w:p>
      <w:p w14:paraId="3D36CD80"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63EDB" w14:textId="77777777" w:rsidR="00E95769" w:rsidRDefault="00E95769" w:rsidP="000C24AF">
      <w:pPr>
        <w:spacing w:after="0"/>
      </w:pPr>
      <w:r>
        <w:separator/>
      </w:r>
    </w:p>
  </w:footnote>
  <w:footnote w:type="continuationSeparator" w:id="0">
    <w:p w14:paraId="434AAE99" w14:textId="77777777" w:rsidR="00E95769" w:rsidRDefault="00E95769" w:rsidP="000C24AF">
      <w:pPr>
        <w:spacing w:after="0"/>
      </w:pPr>
      <w:r>
        <w:continuationSeparator/>
      </w:r>
    </w:p>
  </w:footnote>
  <w:footnote w:type="continuationNotice" w:id="1">
    <w:p w14:paraId="0FEA337B" w14:textId="77777777" w:rsidR="00E95769" w:rsidRDefault="00E957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5"/>
      <w:gridCol w:w="3285"/>
      <w:gridCol w:w="3285"/>
    </w:tblGrid>
    <w:tr w:rsidR="00AEC026" w14:paraId="2C0F6BB9" w14:textId="77777777" w:rsidTr="00AEC026">
      <w:trPr>
        <w:trHeight w:val="300"/>
      </w:trPr>
      <w:tc>
        <w:tcPr>
          <w:tcW w:w="3285" w:type="dxa"/>
        </w:tcPr>
        <w:p w14:paraId="14B9654E" w14:textId="09745964" w:rsidR="00AEC026" w:rsidRDefault="00AEC026" w:rsidP="00AEC026">
          <w:pPr>
            <w:pStyle w:val="Header"/>
            <w:ind w:left="-115"/>
          </w:pPr>
        </w:p>
      </w:tc>
      <w:tc>
        <w:tcPr>
          <w:tcW w:w="3285" w:type="dxa"/>
        </w:tcPr>
        <w:p w14:paraId="7EC09CC6" w14:textId="4453875D" w:rsidR="00AEC026" w:rsidRDefault="00AEC026" w:rsidP="00AEC026">
          <w:pPr>
            <w:pStyle w:val="Header"/>
            <w:jc w:val="center"/>
          </w:pPr>
        </w:p>
      </w:tc>
      <w:tc>
        <w:tcPr>
          <w:tcW w:w="3285" w:type="dxa"/>
        </w:tcPr>
        <w:p w14:paraId="25B241D7" w14:textId="74899AB7" w:rsidR="00AEC026" w:rsidRDefault="00AEC026" w:rsidP="00AEC026">
          <w:pPr>
            <w:pStyle w:val="Header"/>
            <w:ind w:right="-115"/>
            <w:jc w:val="right"/>
          </w:pPr>
        </w:p>
      </w:tc>
    </w:tr>
  </w:tbl>
  <w:p w14:paraId="3338ECD1" w14:textId="6F9DC9E7" w:rsidR="00AEC026" w:rsidRDefault="00AEC026" w:rsidP="00AEC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5"/>
      <w:gridCol w:w="3285"/>
      <w:gridCol w:w="3285"/>
    </w:tblGrid>
    <w:tr w:rsidR="00AEC026" w14:paraId="5B804FCF" w14:textId="77777777" w:rsidTr="00AEC026">
      <w:trPr>
        <w:trHeight w:val="300"/>
      </w:trPr>
      <w:tc>
        <w:tcPr>
          <w:tcW w:w="3285" w:type="dxa"/>
        </w:tcPr>
        <w:p w14:paraId="3CD8BF6A" w14:textId="69AD991E" w:rsidR="00AEC026" w:rsidRDefault="00AEC026" w:rsidP="00AEC026">
          <w:pPr>
            <w:pStyle w:val="Header"/>
            <w:ind w:left="-115"/>
          </w:pPr>
        </w:p>
      </w:tc>
      <w:tc>
        <w:tcPr>
          <w:tcW w:w="3285" w:type="dxa"/>
        </w:tcPr>
        <w:p w14:paraId="0EBC5A09" w14:textId="41B3DE58" w:rsidR="00AEC026" w:rsidRDefault="00AEC026" w:rsidP="00AEC026">
          <w:pPr>
            <w:pStyle w:val="Header"/>
            <w:jc w:val="center"/>
          </w:pPr>
        </w:p>
      </w:tc>
      <w:tc>
        <w:tcPr>
          <w:tcW w:w="3285" w:type="dxa"/>
        </w:tcPr>
        <w:p w14:paraId="4E1D8BBB" w14:textId="24453D71" w:rsidR="00AEC026" w:rsidRDefault="00AEC026" w:rsidP="00AEC026">
          <w:pPr>
            <w:pStyle w:val="Header"/>
            <w:ind w:right="-115"/>
            <w:jc w:val="right"/>
          </w:pPr>
        </w:p>
      </w:tc>
    </w:tr>
  </w:tbl>
  <w:p w14:paraId="3BEAD5FC" w14:textId="1B1E4083" w:rsidR="00AEC026" w:rsidRDefault="00AEC026" w:rsidP="00AEC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5"/>
      <w:gridCol w:w="3285"/>
      <w:gridCol w:w="3285"/>
    </w:tblGrid>
    <w:tr w:rsidR="00AEC026" w14:paraId="506BD47A" w14:textId="77777777" w:rsidTr="00AEC026">
      <w:trPr>
        <w:trHeight w:val="300"/>
      </w:trPr>
      <w:tc>
        <w:tcPr>
          <w:tcW w:w="3285" w:type="dxa"/>
        </w:tcPr>
        <w:p w14:paraId="2245D409" w14:textId="3FDF499C" w:rsidR="00AEC026" w:rsidRDefault="00AEC026" w:rsidP="00AEC026">
          <w:pPr>
            <w:pStyle w:val="Header"/>
            <w:ind w:left="-115"/>
          </w:pPr>
        </w:p>
      </w:tc>
      <w:tc>
        <w:tcPr>
          <w:tcW w:w="3285" w:type="dxa"/>
        </w:tcPr>
        <w:p w14:paraId="19D2895D" w14:textId="39A8BD52" w:rsidR="00AEC026" w:rsidRDefault="00AEC026" w:rsidP="00AEC026">
          <w:pPr>
            <w:pStyle w:val="Header"/>
            <w:jc w:val="center"/>
          </w:pPr>
        </w:p>
      </w:tc>
      <w:tc>
        <w:tcPr>
          <w:tcW w:w="3285" w:type="dxa"/>
        </w:tcPr>
        <w:p w14:paraId="37880A08" w14:textId="388D43E9" w:rsidR="00AEC026" w:rsidRDefault="00AEC026" w:rsidP="00AEC026">
          <w:pPr>
            <w:pStyle w:val="Header"/>
            <w:ind w:right="-115"/>
            <w:jc w:val="right"/>
          </w:pPr>
        </w:p>
      </w:tc>
    </w:tr>
  </w:tbl>
  <w:p w14:paraId="0A2AB6D5" w14:textId="5A695A11" w:rsidR="00AEC026" w:rsidRDefault="00AEC026" w:rsidP="00AEC0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5"/>
      <w:gridCol w:w="3285"/>
      <w:gridCol w:w="3285"/>
    </w:tblGrid>
    <w:tr w:rsidR="00AEC026" w14:paraId="544A6C1F" w14:textId="77777777" w:rsidTr="00AEC026">
      <w:trPr>
        <w:trHeight w:val="300"/>
      </w:trPr>
      <w:tc>
        <w:tcPr>
          <w:tcW w:w="3285" w:type="dxa"/>
        </w:tcPr>
        <w:p w14:paraId="5347D60D" w14:textId="21B8A84E" w:rsidR="00AEC026" w:rsidRDefault="00AEC026" w:rsidP="00AEC026">
          <w:pPr>
            <w:pStyle w:val="Header"/>
            <w:ind w:left="-115"/>
          </w:pPr>
        </w:p>
      </w:tc>
      <w:tc>
        <w:tcPr>
          <w:tcW w:w="3285" w:type="dxa"/>
        </w:tcPr>
        <w:p w14:paraId="7B497A0D" w14:textId="752DDBA4" w:rsidR="00AEC026" w:rsidRDefault="00AEC026" w:rsidP="00AEC026">
          <w:pPr>
            <w:pStyle w:val="Header"/>
            <w:jc w:val="center"/>
          </w:pPr>
        </w:p>
      </w:tc>
      <w:tc>
        <w:tcPr>
          <w:tcW w:w="3285" w:type="dxa"/>
        </w:tcPr>
        <w:p w14:paraId="043EB919" w14:textId="312F2D91" w:rsidR="00AEC026" w:rsidRDefault="00AEC026" w:rsidP="00AEC026">
          <w:pPr>
            <w:pStyle w:val="Header"/>
            <w:ind w:right="-115"/>
            <w:jc w:val="right"/>
          </w:pPr>
        </w:p>
      </w:tc>
    </w:tr>
  </w:tbl>
  <w:p w14:paraId="0211DF34" w14:textId="21603D14" w:rsidR="00AEC026" w:rsidRDefault="00AEC026" w:rsidP="00AEC0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5"/>
      <w:gridCol w:w="3285"/>
      <w:gridCol w:w="3285"/>
    </w:tblGrid>
    <w:tr w:rsidR="00AEC026" w14:paraId="07FCA521" w14:textId="77777777" w:rsidTr="00AEC026">
      <w:trPr>
        <w:trHeight w:val="300"/>
      </w:trPr>
      <w:tc>
        <w:tcPr>
          <w:tcW w:w="3285" w:type="dxa"/>
        </w:tcPr>
        <w:p w14:paraId="38C51F13" w14:textId="0AEDBF6C" w:rsidR="00AEC026" w:rsidRDefault="00AEC026" w:rsidP="00AEC026">
          <w:pPr>
            <w:pStyle w:val="Header"/>
            <w:ind w:left="-115"/>
          </w:pPr>
        </w:p>
      </w:tc>
      <w:tc>
        <w:tcPr>
          <w:tcW w:w="3285" w:type="dxa"/>
        </w:tcPr>
        <w:p w14:paraId="79B502E3" w14:textId="2721C9B8" w:rsidR="00AEC026" w:rsidRDefault="00AEC026" w:rsidP="00AEC026">
          <w:pPr>
            <w:pStyle w:val="Header"/>
            <w:jc w:val="center"/>
          </w:pPr>
        </w:p>
      </w:tc>
      <w:tc>
        <w:tcPr>
          <w:tcW w:w="3285" w:type="dxa"/>
        </w:tcPr>
        <w:p w14:paraId="1951B888" w14:textId="7B69D23F" w:rsidR="00AEC026" w:rsidRDefault="00AEC026" w:rsidP="00AEC026">
          <w:pPr>
            <w:pStyle w:val="Header"/>
            <w:ind w:right="-115"/>
            <w:jc w:val="right"/>
          </w:pPr>
        </w:p>
      </w:tc>
    </w:tr>
  </w:tbl>
  <w:p w14:paraId="6D229D2A" w14:textId="43AF8D5C" w:rsidR="00AEC026" w:rsidRDefault="00AEC026" w:rsidP="00AEC0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5"/>
      <w:gridCol w:w="3285"/>
      <w:gridCol w:w="3285"/>
    </w:tblGrid>
    <w:tr w:rsidR="00AEC026" w14:paraId="6B86A022" w14:textId="77777777" w:rsidTr="00AEC026">
      <w:trPr>
        <w:trHeight w:val="300"/>
      </w:trPr>
      <w:tc>
        <w:tcPr>
          <w:tcW w:w="3285" w:type="dxa"/>
        </w:tcPr>
        <w:p w14:paraId="38215DD6" w14:textId="0375D1A2" w:rsidR="00AEC026" w:rsidRDefault="00AEC026" w:rsidP="00AEC026">
          <w:pPr>
            <w:pStyle w:val="Header"/>
            <w:ind w:left="-115"/>
          </w:pPr>
        </w:p>
      </w:tc>
      <w:tc>
        <w:tcPr>
          <w:tcW w:w="3285" w:type="dxa"/>
        </w:tcPr>
        <w:p w14:paraId="791B8EFD" w14:textId="1F11B7C6" w:rsidR="00AEC026" w:rsidRDefault="00AEC026" w:rsidP="00AEC026">
          <w:pPr>
            <w:pStyle w:val="Header"/>
            <w:jc w:val="center"/>
          </w:pPr>
        </w:p>
      </w:tc>
      <w:tc>
        <w:tcPr>
          <w:tcW w:w="3285" w:type="dxa"/>
        </w:tcPr>
        <w:p w14:paraId="44FF0777" w14:textId="166E1766" w:rsidR="00AEC026" w:rsidRDefault="00AEC026" w:rsidP="00AEC026">
          <w:pPr>
            <w:pStyle w:val="Header"/>
            <w:ind w:right="-115"/>
            <w:jc w:val="right"/>
          </w:pPr>
        </w:p>
      </w:tc>
    </w:tr>
  </w:tbl>
  <w:p w14:paraId="308EB3FC" w14:textId="67A54318" w:rsidR="00AEC026" w:rsidRDefault="00AEC026" w:rsidP="00AEC026">
    <w:pPr>
      <w:pStyle w:val="Header"/>
    </w:pPr>
  </w:p>
</w:hdr>
</file>

<file path=word/intelligence2.xml><?xml version="1.0" encoding="utf-8"?>
<int2:intelligence xmlns:int2="http://schemas.microsoft.com/office/intelligence/2020/intelligence" xmlns:oel="http://schemas.microsoft.com/office/2019/extlst">
  <int2:observations>
    <int2:textHash int2:hashCode="jQdQ6fOulHZiua" int2:id="37EMoAKd">
      <int2:state int2:value="Rejected" int2:type="AugLoop_Text_Critique"/>
    </int2:textHash>
    <int2:textHash int2:hashCode="UKHcoUGmo2WDBo" int2:id="HzhzY7WE">
      <int2:state int2:value="Rejected" int2:type="AugLoop_Text_Critique"/>
    </int2:textHash>
    <int2:textHash int2:hashCode="HEXtz+T4PyFSoL" int2:id="X7sDr3UA">
      <int2:state int2:value="Rejected" int2:type="AugLoop_Text_Critique"/>
    </int2:textHash>
    <int2:textHash int2:hashCode="Pwxxtk1Oaaejcq" int2:id="lMOyIP4w">
      <int2:state int2:value="Rejected" int2:type="AugLoop_Text_Critique"/>
    </int2:textHash>
    <int2:textHash int2:hashCode="BEFRsyh3tjoYSE" int2:id="yx1B5HG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EACAFDA6"/>
    <w:lvl w:ilvl="0" w:tplc="267A8EAA">
      <w:start w:val="1"/>
      <w:numFmt w:val="bullet"/>
      <w:pStyle w:val="Bulletlist"/>
      <w:lvlText w:val=""/>
      <w:lvlJc w:val="left"/>
      <w:pPr>
        <w:ind w:left="92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86D60"/>
    <w:multiLevelType w:val="hybridMultilevel"/>
    <w:tmpl w:val="BBA06422"/>
    <w:lvl w:ilvl="0" w:tplc="F540404A">
      <w:numFmt w:val="bullet"/>
      <w:lvlText w:val=""/>
      <w:lvlJc w:val="left"/>
      <w:pPr>
        <w:ind w:left="1560" w:hanging="360"/>
      </w:pPr>
      <w:rPr>
        <w:rFonts w:ascii="Symbol" w:eastAsia="Times New Roman" w:hAnsi="Symbol" w:cs="Arial" w:hint="default"/>
      </w:rPr>
    </w:lvl>
    <w:lvl w:ilvl="1" w:tplc="08090003">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 w15:restartNumberingAfterBreak="0">
    <w:nsid w:val="124B0B76"/>
    <w:multiLevelType w:val="hybridMultilevel"/>
    <w:tmpl w:val="FBDA9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B5899"/>
    <w:multiLevelType w:val="hybridMultilevel"/>
    <w:tmpl w:val="6C0C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9545E"/>
    <w:multiLevelType w:val="hybridMultilevel"/>
    <w:tmpl w:val="594AC3F4"/>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3D2DDF"/>
    <w:multiLevelType w:val="hybridMultilevel"/>
    <w:tmpl w:val="FD94A798"/>
    <w:lvl w:ilvl="0" w:tplc="071ACE18">
      <w:start w:val="1"/>
      <w:numFmt w:val="decimal"/>
      <w:lvlText w:val="%1."/>
      <w:lvlJc w:val="left"/>
      <w:pPr>
        <w:ind w:left="720" w:hanging="360"/>
      </w:pPr>
      <w:rPr>
        <w:sz w:val="3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390A55"/>
    <w:multiLevelType w:val="hybridMultilevel"/>
    <w:tmpl w:val="2D1E3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A344FD"/>
    <w:multiLevelType w:val="hybridMultilevel"/>
    <w:tmpl w:val="D63C7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6B6002"/>
    <w:multiLevelType w:val="hybridMultilevel"/>
    <w:tmpl w:val="09DC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F4411"/>
    <w:multiLevelType w:val="hybridMultilevel"/>
    <w:tmpl w:val="DB4EC58C"/>
    <w:lvl w:ilvl="0" w:tplc="08090005">
      <w:start w:val="1"/>
      <w:numFmt w:val="bullet"/>
      <w:lvlText w:val=""/>
      <w:lvlJc w:val="left"/>
      <w:pPr>
        <w:tabs>
          <w:tab w:val="num" w:pos="1080"/>
        </w:tabs>
        <w:ind w:left="108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2437CC"/>
    <w:multiLevelType w:val="hybridMultilevel"/>
    <w:tmpl w:val="AE323D9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89B36DC"/>
    <w:multiLevelType w:val="hybridMultilevel"/>
    <w:tmpl w:val="A8F073B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349795252">
    <w:abstractNumId w:val="0"/>
  </w:num>
  <w:num w:numId="2" w16cid:durableId="1394693074">
    <w:abstractNumId w:val="11"/>
  </w:num>
  <w:num w:numId="3" w16cid:durableId="570964709">
    <w:abstractNumId w:val="5"/>
  </w:num>
  <w:num w:numId="4" w16cid:durableId="1977448233">
    <w:abstractNumId w:val="8"/>
  </w:num>
  <w:num w:numId="5" w16cid:durableId="1647978791">
    <w:abstractNumId w:val="1"/>
  </w:num>
  <w:num w:numId="6" w16cid:durableId="1813712194">
    <w:abstractNumId w:val="2"/>
  </w:num>
  <w:num w:numId="7" w16cid:durableId="230579436">
    <w:abstractNumId w:val="10"/>
  </w:num>
  <w:num w:numId="8" w16cid:durableId="968322984">
    <w:abstractNumId w:val="12"/>
  </w:num>
  <w:num w:numId="9" w16cid:durableId="1605845447">
    <w:abstractNumId w:val="4"/>
  </w:num>
  <w:num w:numId="10" w16cid:durableId="899483888">
    <w:abstractNumId w:val="3"/>
  </w:num>
  <w:num w:numId="11" w16cid:durableId="2007243024">
    <w:abstractNumId w:val="6"/>
  </w:num>
  <w:num w:numId="12" w16cid:durableId="1555387970">
    <w:abstractNumId w:val="13"/>
  </w:num>
  <w:num w:numId="13" w16cid:durableId="1212695424">
    <w:abstractNumId w:val="9"/>
  </w:num>
  <w:num w:numId="14" w16cid:durableId="694385546">
    <w:abstractNumId w:val="7"/>
  </w:num>
  <w:num w:numId="15" w16cid:durableId="1122071454">
    <w:abstractNumId w:val="0"/>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12"/>
    <w:rsid w:val="00000197"/>
    <w:rsid w:val="000005C7"/>
    <w:rsid w:val="00003EE8"/>
    <w:rsid w:val="0000416F"/>
    <w:rsid w:val="00006985"/>
    <w:rsid w:val="000108B8"/>
    <w:rsid w:val="0001164C"/>
    <w:rsid w:val="000271F6"/>
    <w:rsid w:val="0003185C"/>
    <w:rsid w:val="00031FD0"/>
    <w:rsid w:val="00042728"/>
    <w:rsid w:val="00043B3C"/>
    <w:rsid w:val="00055630"/>
    <w:rsid w:val="00061452"/>
    <w:rsid w:val="000733A2"/>
    <w:rsid w:val="0008313C"/>
    <w:rsid w:val="000863E2"/>
    <w:rsid w:val="000935A1"/>
    <w:rsid w:val="00095621"/>
    <w:rsid w:val="000A266D"/>
    <w:rsid w:val="000A4B2B"/>
    <w:rsid w:val="000A64E4"/>
    <w:rsid w:val="000C2447"/>
    <w:rsid w:val="000C24AF"/>
    <w:rsid w:val="000D39C3"/>
    <w:rsid w:val="000D7556"/>
    <w:rsid w:val="000E2EBE"/>
    <w:rsid w:val="000E44A6"/>
    <w:rsid w:val="000F35AD"/>
    <w:rsid w:val="000F61A1"/>
    <w:rsid w:val="00101883"/>
    <w:rsid w:val="0010192E"/>
    <w:rsid w:val="00103F4D"/>
    <w:rsid w:val="0010592F"/>
    <w:rsid w:val="001103AA"/>
    <w:rsid w:val="00113DCB"/>
    <w:rsid w:val="00113EEC"/>
    <w:rsid w:val="00121A3A"/>
    <w:rsid w:val="00127C11"/>
    <w:rsid w:val="00164BDA"/>
    <w:rsid w:val="0016761F"/>
    <w:rsid w:val="001716E5"/>
    <w:rsid w:val="00174E90"/>
    <w:rsid w:val="0019592C"/>
    <w:rsid w:val="001A594B"/>
    <w:rsid w:val="001C3565"/>
    <w:rsid w:val="001C6937"/>
    <w:rsid w:val="001C7614"/>
    <w:rsid w:val="001D243C"/>
    <w:rsid w:val="001E004E"/>
    <w:rsid w:val="001E27F8"/>
    <w:rsid w:val="001E378F"/>
    <w:rsid w:val="001F3126"/>
    <w:rsid w:val="0022134A"/>
    <w:rsid w:val="0022596F"/>
    <w:rsid w:val="002365A0"/>
    <w:rsid w:val="00237A76"/>
    <w:rsid w:val="00240B6E"/>
    <w:rsid w:val="00245FE3"/>
    <w:rsid w:val="00246075"/>
    <w:rsid w:val="00251B94"/>
    <w:rsid w:val="00270DAD"/>
    <w:rsid w:val="002855F7"/>
    <w:rsid w:val="00290D9C"/>
    <w:rsid w:val="00294153"/>
    <w:rsid w:val="00294488"/>
    <w:rsid w:val="002A2833"/>
    <w:rsid w:val="002A3F48"/>
    <w:rsid w:val="002A45CD"/>
    <w:rsid w:val="002B24BD"/>
    <w:rsid w:val="002B3BFD"/>
    <w:rsid w:val="002C0816"/>
    <w:rsid w:val="002C4C58"/>
    <w:rsid w:val="002F3654"/>
    <w:rsid w:val="002F45CE"/>
    <w:rsid w:val="002F7B8F"/>
    <w:rsid w:val="00304A81"/>
    <w:rsid w:val="00315A4E"/>
    <w:rsid w:val="0033715E"/>
    <w:rsid w:val="00340B79"/>
    <w:rsid w:val="0034439B"/>
    <w:rsid w:val="003444C7"/>
    <w:rsid w:val="00344F39"/>
    <w:rsid w:val="0034560E"/>
    <w:rsid w:val="0035386A"/>
    <w:rsid w:val="0035464A"/>
    <w:rsid w:val="00355C51"/>
    <w:rsid w:val="00356BD1"/>
    <w:rsid w:val="003818DF"/>
    <w:rsid w:val="003900D3"/>
    <w:rsid w:val="003A4B22"/>
    <w:rsid w:val="003B2686"/>
    <w:rsid w:val="003B6BB4"/>
    <w:rsid w:val="003D3A42"/>
    <w:rsid w:val="003E57B6"/>
    <w:rsid w:val="003F7B0C"/>
    <w:rsid w:val="0040089E"/>
    <w:rsid w:val="00401117"/>
    <w:rsid w:val="00411D1D"/>
    <w:rsid w:val="00420E7F"/>
    <w:rsid w:val="00423FAF"/>
    <w:rsid w:val="00427636"/>
    <w:rsid w:val="00430131"/>
    <w:rsid w:val="00432D5A"/>
    <w:rsid w:val="00443088"/>
    <w:rsid w:val="00447E51"/>
    <w:rsid w:val="00455A3F"/>
    <w:rsid w:val="004626F3"/>
    <w:rsid w:val="00472D33"/>
    <w:rsid w:val="00491977"/>
    <w:rsid w:val="00491BA6"/>
    <w:rsid w:val="00497DE0"/>
    <w:rsid w:val="004B626E"/>
    <w:rsid w:val="004C75CC"/>
    <w:rsid w:val="004D763F"/>
    <w:rsid w:val="004E387B"/>
    <w:rsid w:val="004F03E4"/>
    <w:rsid w:val="004F0A67"/>
    <w:rsid w:val="004F1337"/>
    <w:rsid w:val="004F28CE"/>
    <w:rsid w:val="004F6303"/>
    <w:rsid w:val="005014AF"/>
    <w:rsid w:val="0052302B"/>
    <w:rsid w:val="005260D9"/>
    <w:rsid w:val="0052756A"/>
    <w:rsid w:val="00534180"/>
    <w:rsid w:val="0053499D"/>
    <w:rsid w:val="00535716"/>
    <w:rsid w:val="00544C0C"/>
    <w:rsid w:val="00546072"/>
    <w:rsid w:val="00550A66"/>
    <w:rsid w:val="005634F0"/>
    <w:rsid w:val="00577A42"/>
    <w:rsid w:val="005809F6"/>
    <w:rsid w:val="0058121B"/>
    <w:rsid w:val="00583CB5"/>
    <w:rsid w:val="00584D6A"/>
    <w:rsid w:val="00590D21"/>
    <w:rsid w:val="005A3B89"/>
    <w:rsid w:val="005A7F13"/>
    <w:rsid w:val="005C068C"/>
    <w:rsid w:val="005C2644"/>
    <w:rsid w:val="005C3745"/>
    <w:rsid w:val="005D4E5A"/>
    <w:rsid w:val="005D61B4"/>
    <w:rsid w:val="005E044E"/>
    <w:rsid w:val="005F0359"/>
    <w:rsid w:val="00601DBA"/>
    <w:rsid w:val="00603A2C"/>
    <w:rsid w:val="00613251"/>
    <w:rsid w:val="00614F79"/>
    <w:rsid w:val="0061523D"/>
    <w:rsid w:val="00616632"/>
    <w:rsid w:val="0062477E"/>
    <w:rsid w:val="0063502E"/>
    <w:rsid w:val="00651042"/>
    <w:rsid w:val="00654EE0"/>
    <w:rsid w:val="00660C81"/>
    <w:rsid w:val="006679DE"/>
    <w:rsid w:val="00671B7A"/>
    <w:rsid w:val="00672717"/>
    <w:rsid w:val="00675E35"/>
    <w:rsid w:val="00684633"/>
    <w:rsid w:val="00692041"/>
    <w:rsid w:val="00694FC4"/>
    <w:rsid w:val="006A2359"/>
    <w:rsid w:val="006C7386"/>
    <w:rsid w:val="006D02E8"/>
    <w:rsid w:val="006D0346"/>
    <w:rsid w:val="006E2FE7"/>
    <w:rsid w:val="006F37F0"/>
    <w:rsid w:val="00702B4D"/>
    <w:rsid w:val="00710E40"/>
    <w:rsid w:val="0071497F"/>
    <w:rsid w:val="00715394"/>
    <w:rsid w:val="00723A85"/>
    <w:rsid w:val="0073429A"/>
    <w:rsid w:val="007375BC"/>
    <w:rsid w:val="00740573"/>
    <w:rsid w:val="00753953"/>
    <w:rsid w:val="00761E45"/>
    <w:rsid w:val="00763FA3"/>
    <w:rsid w:val="007663CB"/>
    <w:rsid w:val="00796E96"/>
    <w:rsid w:val="007A1D0E"/>
    <w:rsid w:val="007B62EE"/>
    <w:rsid w:val="007C4A27"/>
    <w:rsid w:val="007D1E52"/>
    <w:rsid w:val="007E4138"/>
    <w:rsid w:val="007F5954"/>
    <w:rsid w:val="00801629"/>
    <w:rsid w:val="00811505"/>
    <w:rsid w:val="00811876"/>
    <w:rsid w:val="0081544B"/>
    <w:rsid w:val="00840B28"/>
    <w:rsid w:val="00842D21"/>
    <w:rsid w:val="00853A57"/>
    <w:rsid w:val="00855D19"/>
    <w:rsid w:val="00856061"/>
    <w:rsid w:val="008625E8"/>
    <w:rsid w:val="00864885"/>
    <w:rsid w:val="00865AAC"/>
    <w:rsid w:val="00872104"/>
    <w:rsid w:val="008744B1"/>
    <w:rsid w:val="00880D4A"/>
    <w:rsid w:val="00897829"/>
    <w:rsid w:val="008A3E2F"/>
    <w:rsid w:val="008C7569"/>
    <w:rsid w:val="008D01C1"/>
    <w:rsid w:val="008D2816"/>
    <w:rsid w:val="008D50ED"/>
    <w:rsid w:val="008D5572"/>
    <w:rsid w:val="008D5953"/>
    <w:rsid w:val="008E2296"/>
    <w:rsid w:val="008E749E"/>
    <w:rsid w:val="008F6069"/>
    <w:rsid w:val="00905552"/>
    <w:rsid w:val="00917854"/>
    <w:rsid w:val="00920721"/>
    <w:rsid w:val="00922AD1"/>
    <w:rsid w:val="009306B3"/>
    <w:rsid w:val="0094128E"/>
    <w:rsid w:val="00943EC5"/>
    <w:rsid w:val="00970C89"/>
    <w:rsid w:val="009715BC"/>
    <w:rsid w:val="009762A4"/>
    <w:rsid w:val="00980022"/>
    <w:rsid w:val="00985412"/>
    <w:rsid w:val="00987163"/>
    <w:rsid w:val="00990E1C"/>
    <w:rsid w:val="00991AF2"/>
    <w:rsid w:val="009A0001"/>
    <w:rsid w:val="009A659C"/>
    <w:rsid w:val="009B0321"/>
    <w:rsid w:val="009B47EA"/>
    <w:rsid w:val="009B6565"/>
    <w:rsid w:val="009C27F0"/>
    <w:rsid w:val="009D24D4"/>
    <w:rsid w:val="009E75D0"/>
    <w:rsid w:val="009F09FD"/>
    <w:rsid w:val="009F1650"/>
    <w:rsid w:val="009F4912"/>
    <w:rsid w:val="009F7412"/>
    <w:rsid w:val="00A02EEF"/>
    <w:rsid w:val="00A03469"/>
    <w:rsid w:val="00A124B9"/>
    <w:rsid w:val="00A24407"/>
    <w:rsid w:val="00A2532C"/>
    <w:rsid w:val="00A268E2"/>
    <w:rsid w:val="00A646D7"/>
    <w:rsid w:val="00A66950"/>
    <w:rsid w:val="00A75B7E"/>
    <w:rsid w:val="00A812B3"/>
    <w:rsid w:val="00A96C46"/>
    <w:rsid w:val="00AB3248"/>
    <w:rsid w:val="00AB731C"/>
    <w:rsid w:val="00AC0634"/>
    <w:rsid w:val="00AC103C"/>
    <w:rsid w:val="00AC35F8"/>
    <w:rsid w:val="00AC7958"/>
    <w:rsid w:val="00AD13C4"/>
    <w:rsid w:val="00AE45DB"/>
    <w:rsid w:val="00AE554A"/>
    <w:rsid w:val="00AE6B55"/>
    <w:rsid w:val="00AEC026"/>
    <w:rsid w:val="00AF7217"/>
    <w:rsid w:val="00B0246A"/>
    <w:rsid w:val="00B051B5"/>
    <w:rsid w:val="00B177AF"/>
    <w:rsid w:val="00B44DD5"/>
    <w:rsid w:val="00B57496"/>
    <w:rsid w:val="00B72132"/>
    <w:rsid w:val="00B738AB"/>
    <w:rsid w:val="00B7725C"/>
    <w:rsid w:val="00B77C41"/>
    <w:rsid w:val="00B81669"/>
    <w:rsid w:val="00B907B5"/>
    <w:rsid w:val="00BA37F1"/>
    <w:rsid w:val="00BA6DA0"/>
    <w:rsid w:val="00BA708C"/>
    <w:rsid w:val="00BB21ED"/>
    <w:rsid w:val="00BB471F"/>
    <w:rsid w:val="00BC294E"/>
    <w:rsid w:val="00BC5961"/>
    <w:rsid w:val="00BC5F53"/>
    <w:rsid w:val="00BC78C6"/>
    <w:rsid w:val="00BE0046"/>
    <w:rsid w:val="00BE3C57"/>
    <w:rsid w:val="00BE6447"/>
    <w:rsid w:val="00C01D97"/>
    <w:rsid w:val="00C021AB"/>
    <w:rsid w:val="00C068F4"/>
    <w:rsid w:val="00C07F6B"/>
    <w:rsid w:val="00C15176"/>
    <w:rsid w:val="00C24E0D"/>
    <w:rsid w:val="00C2506B"/>
    <w:rsid w:val="00C37063"/>
    <w:rsid w:val="00C405BA"/>
    <w:rsid w:val="00C40AAB"/>
    <w:rsid w:val="00C40D52"/>
    <w:rsid w:val="00C52947"/>
    <w:rsid w:val="00C669E0"/>
    <w:rsid w:val="00C67367"/>
    <w:rsid w:val="00C724DD"/>
    <w:rsid w:val="00C846FE"/>
    <w:rsid w:val="00C85F4A"/>
    <w:rsid w:val="00C914FA"/>
    <w:rsid w:val="00C92413"/>
    <w:rsid w:val="00CA0FAC"/>
    <w:rsid w:val="00CA667A"/>
    <w:rsid w:val="00CB5F8F"/>
    <w:rsid w:val="00CC7B1C"/>
    <w:rsid w:val="00CD46C8"/>
    <w:rsid w:val="00CD7E86"/>
    <w:rsid w:val="00CE086C"/>
    <w:rsid w:val="00CF4C68"/>
    <w:rsid w:val="00CF7DA5"/>
    <w:rsid w:val="00D2315A"/>
    <w:rsid w:val="00D356F8"/>
    <w:rsid w:val="00D364AD"/>
    <w:rsid w:val="00D425F2"/>
    <w:rsid w:val="00D50992"/>
    <w:rsid w:val="00D50FF0"/>
    <w:rsid w:val="00D609D2"/>
    <w:rsid w:val="00D66537"/>
    <w:rsid w:val="00D7091D"/>
    <w:rsid w:val="00D92BBC"/>
    <w:rsid w:val="00D93D0D"/>
    <w:rsid w:val="00DA5512"/>
    <w:rsid w:val="00DA589B"/>
    <w:rsid w:val="00DB65B3"/>
    <w:rsid w:val="00DC7A9D"/>
    <w:rsid w:val="00DD1729"/>
    <w:rsid w:val="00DD3B24"/>
    <w:rsid w:val="00DD588D"/>
    <w:rsid w:val="00DD77F0"/>
    <w:rsid w:val="00DD7C30"/>
    <w:rsid w:val="00DE3AB8"/>
    <w:rsid w:val="00DF4DBC"/>
    <w:rsid w:val="00E07DBB"/>
    <w:rsid w:val="00E45C31"/>
    <w:rsid w:val="00E5122E"/>
    <w:rsid w:val="00E5200D"/>
    <w:rsid w:val="00E5704B"/>
    <w:rsid w:val="00E85295"/>
    <w:rsid w:val="00E95769"/>
    <w:rsid w:val="00EB0659"/>
    <w:rsid w:val="00EB1195"/>
    <w:rsid w:val="00EB4C88"/>
    <w:rsid w:val="00EB6372"/>
    <w:rsid w:val="00EC37E3"/>
    <w:rsid w:val="00EC5299"/>
    <w:rsid w:val="00ED0BE5"/>
    <w:rsid w:val="00ED3649"/>
    <w:rsid w:val="00EE0481"/>
    <w:rsid w:val="00F06F3B"/>
    <w:rsid w:val="00F075A4"/>
    <w:rsid w:val="00F126B3"/>
    <w:rsid w:val="00F13D85"/>
    <w:rsid w:val="00F25CC7"/>
    <w:rsid w:val="00F42EB9"/>
    <w:rsid w:val="00F43407"/>
    <w:rsid w:val="00F454BD"/>
    <w:rsid w:val="00F523E6"/>
    <w:rsid w:val="00F5718C"/>
    <w:rsid w:val="00F609E1"/>
    <w:rsid w:val="00F61204"/>
    <w:rsid w:val="00F62EC6"/>
    <w:rsid w:val="00F64933"/>
    <w:rsid w:val="00F8486E"/>
    <w:rsid w:val="00F8709D"/>
    <w:rsid w:val="00F94E17"/>
    <w:rsid w:val="00F96709"/>
    <w:rsid w:val="00FA30C8"/>
    <w:rsid w:val="00FA4212"/>
    <w:rsid w:val="00FB4899"/>
    <w:rsid w:val="00FB4EB0"/>
    <w:rsid w:val="00FE211E"/>
    <w:rsid w:val="00FE59C4"/>
    <w:rsid w:val="00FF5782"/>
    <w:rsid w:val="04C6789B"/>
    <w:rsid w:val="05564D26"/>
    <w:rsid w:val="062D3072"/>
    <w:rsid w:val="06E1B04C"/>
    <w:rsid w:val="071DE275"/>
    <w:rsid w:val="086BD41A"/>
    <w:rsid w:val="0DCD5D90"/>
    <w:rsid w:val="136CE151"/>
    <w:rsid w:val="142C407F"/>
    <w:rsid w:val="14409A16"/>
    <w:rsid w:val="145DB2BD"/>
    <w:rsid w:val="162A112F"/>
    <w:rsid w:val="1AB7E2AD"/>
    <w:rsid w:val="1AD28394"/>
    <w:rsid w:val="1D16018E"/>
    <w:rsid w:val="1DD40088"/>
    <w:rsid w:val="1E25A863"/>
    <w:rsid w:val="214BB9F0"/>
    <w:rsid w:val="2159F9E5"/>
    <w:rsid w:val="23A59DDC"/>
    <w:rsid w:val="243344FC"/>
    <w:rsid w:val="27E9BEE4"/>
    <w:rsid w:val="29B33930"/>
    <w:rsid w:val="2A9FF3FB"/>
    <w:rsid w:val="2E296E73"/>
    <w:rsid w:val="312FC4A7"/>
    <w:rsid w:val="32C766F1"/>
    <w:rsid w:val="32EF6DED"/>
    <w:rsid w:val="35FE9CF5"/>
    <w:rsid w:val="3A47E590"/>
    <w:rsid w:val="3D97A245"/>
    <w:rsid w:val="3DF4D581"/>
    <w:rsid w:val="3F304A84"/>
    <w:rsid w:val="4098B592"/>
    <w:rsid w:val="44C4858B"/>
    <w:rsid w:val="45C66B88"/>
    <w:rsid w:val="4999A52F"/>
    <w:rsid w:val="4A65CFBD"/>
    <w:rsid w:val="4B742A00"/>
    <w:rsid w:val="4C7444F3"/>
    <w:rsid w:val="4D500076"/>
    <w:rsid w:val="4E35CE87"/>
    <w:rsid w:val="51C54F71"/>
    <w:rsid w:val="551EB02B"/>
    <w:rsid w:val="56475935"/>
    <w:rsid w:val="5710D534"/>
    <w:rsid w:val="57A9879E"/>
    <w:rsid w:val="5C3EA47C"/>
    <w:rsid w:val="5D26111A"/>
    <w:rsid w:val="5D407ECD"/>
    <w:rsid w:val="6102171A"/>
    <w:rsid w:val="63A23516"/>
    <w:rsid w:val="66705CCD"/>
    <w:rsid w:val="698D9CFC"/>
    <w:rsid w:val="6B2E961A"/>
    <w:rsid w:val="6BB38633"/>
    <w:rsid w:val="6CAEDE8C"/>
    <w:rsid w:val="6D10A211"/>
    <w:rsid w:val="702611E6"/>
    <w:rsid w:val="70EAD326"/>
    <w:rsid w:val="714D37C6"/>
    <w:rsid w:val="71A1DFE5"/>
    <w:rsid w:val="71EBE2A2"/>
    <w:rsid w:val="7380F551"/>
    <w:rsid w:val="75025250"/>
    <w:rsid w:val="7561F9E0"/>
    <w:rsid w:val="76ECD4CA"/>
    <w:rsid w:val="7807E4C1"/>
    <w:rsid w:val="7A3E70D9"/>
    <w:rsid w:val="7B671FAC"/>
    <w:rsid w:val="7D6E309E"/>
    <w:rsid w:val="7E7045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4C87D"/>
  <w15:docId w15:val="{0D9ADA69-81ED-46D8-BCA2-589370A7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1"/>
    <w:qFormat/>
    <w:rsid w:val="00BE3C57"/>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4"/>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1"/>
    <w:rsid w:val="00BE3C57"/>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5"/>
    <w:qFormat/>
    <w:rsid w:val="00355C51"/>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5"/>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8"/>
    <w:qFormat/>
    <w:rsid w:val="00BE3C57"/>
    <w:rPr>
      <w:rFonts w:asciiTheme="minorHAnsi" w:hAnsiTheme="minorHAnsi" w:cstheme="minorHAnsi"/>
      <w:bCs/>
      <w:kern w:val="28"/>
      <w:sz w:val="28"/>
      <w:szCs w:val="28"/>
      <w14:ligatures w14:val="standardContextual"/>
    </w:rPr>
  </w:style>
  <w:style w:type="character" w:customStyle="1" w:styleId="StandfirstChar">
    <w:name w:val="Standfirst Char"/>
    <w:basedOn w:val="Heading4Char"/>
    <w:link w:val="Standfirst"/>
    <w:uiPriority w:val="8"/>
    <w:rsid w:val="00BE3C57"/>
    <w:rPr>
      <w:rFonts w:asciiTheme="minorHAnsi" w:eastAsia="MS Mincho" w:hAnsiTheme="minorHAnsi" w:cstheme="minorHAnsi"/>
      <w:b w:val="0"/>
      <w:bCs/>
      <w:color w:val="000000"/>
      <w:kern w:val="28"/>
      <w:sz w:val="28"/>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7"/>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qFormat/>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NoSpacing">
    <w:name w:val="No Spacing"/>
    <w:uiPriority w:val="1"/>
    <w:qFormat/>
    <w:rsid w:val="00BE3C5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091862">
      <w:bodyDiv w:val="1"/>
      <w:marLeft w:val="0"/>
      <w:marRight w:val="0"/>
      <w:marTop w:val="0"/>
      <w:marBottom w:val="0"/>
      <w:divBdr>
        <w:top w:val="none" w:sz="0" w:space="0" w:color="auto"/>
        <w:left w:val="none" w:sz="0" w:space="0" w:color="auto"/>
        <w:bottom w:val="none" w:sz="0" w:space="0" w:color="auto"/>
        <w:right w:val="none" w:sz="0" w:space="0" w:color="auto"/>
      </w:divBdr>
    </w:div>
    <w:div w:id="207620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england.nhs.uk/wp-content/uploads/2023/05/PRN00283-delivery-plan-for-recovering-access-to-primary-care-may-2023.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england.nhs.uk/publication/nhs-long-term-workforce-pla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ngland.nhs.uk/publication/integrated-care-systems-guidanc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ngland.nhs.uk/wp-content/uploads/2023/02/workforce-race-equality-standard.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hee.nhs.uk/sites/default/files/documents/The%20Community%20Pharmacy%20Workforce%20Survey%202022%20Key%20findings%20presentation.pdf" TargetMode="Externa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FB09A5FFB4BB47954469CFBB4655C6"/>
        <w:category>
          <w:name w:val="General"/>
          <w:gallery w:val="placeholder"/>
        </w:category>
        <w:types>
          <w:type w:val="bbPlcHdr"/>
        </w:types>
        <w:behaviors>
          <w:behavior w:val="content"/>
        </w:behaviors>
        <w:guid w:val="{5C0D59FD-BE1C-E94E-BC40-A7C1954A9E75}"/>
      </w:docPartPr>
      <w:docPartBody>
        <w:p w:rsidR="00E87049" w:rsidRDefault="001A594B">
          <w:pPr>
            <w:pStyle w:val="F2FB09A5FFB4BB47954469CFBB4655C6"/>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F2"/>
    <w:rsid w:val="000F7AF2"/>
    <w:rsid w:val="001103AA"/>
    <w:rsid w:val="001A594B"/>
    <w:rsid w:val="002464AD"/>
    <w:rsid w:val="00294153"/>
    <w:rsid w:val="002B5504"/>
    <w:rsid w:val="00315A4E"/>
    <w:rsid w:val="00340B79"/>
    <w:rsid w:val="00401117"/>
    <w:rsid w:val="004C6C64"/>
    <w:rsid w:val="00550A66"/>
    <w:rsid w:val="006D0346"/>
    <w:rsid w:val="0070371E"/>
    <w:rsid w:val="00855CF6"/>
    <w:rsid w:val="00916BD7"/>
    <w:rsid w:val="00AD4973"/>
    <w:rsid w:val="00BA708C"/>
    <w:rsid w:val="00C24E0D"/>
    <w:rsid w:val="00C724DD"/>
    <w:rsid w:val="00D54BC2"/>
    <w:rsid w:val="00E870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FB09A5FFB4BB47954469CFBB4655C6">
    <w:name w:val="F2FB09A5FFB4BB47954469CFBB4655C6"/>
  </w:style>
  <w:style w:type="character" w:styleId="PlaceholderText">
    <w:name w:val="Placeholder Text"/>
    <w:basedOn w:val="DefaultParagraphFont"/>
    <w:uiPriority w:val="99"/>
    <w:semiHidden/>
    <w:rsid w:val="00E870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2024-04-01T00:00:00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AC8A31E680EC4BB93558C0197B4842" ma:contentTypeVersion="22" ma:contentTypeDescription="Create a new document." ma:contentTypeScope="" ma:versionID="9688ae8eb1311bde8b665a9a889aa941">
  <xsd:schema xmlns:xsd="http://www.w3.org/2001/XMLSchema" xmlns:xs="http://www.w3.org/2001/XMLSchema" xmlns:p="http://schemas.microsoft.com/office/2006/metadata/properties" xmlns:ns1="http://schemas.microsoft.com/sharepoint/v3" xmlns:ns2="6ae39060-2231-423e-b8e4-c839774b5994" xmlns:ns3="8f4fe6f9-136b-4826-bb7e-2ccad7d0e65c" targetNamespace="http://schemas.microsoft.com/office/2006/metadata/properties" ma:root="true" ma:fieldsID="f872b170599c705f872a1ec8735fbf2b" ns1:_="" ns2:_="" ns3:_="">
    <xsd:import namespace="http://schemas.microsoft.com/sharepoint/v3"/>
    <xsd:import namespace="6ae39060-2231-423e-b8e4-c839774b5994"/>
    <xsd:import namespace="8f4fe6f9-136b-4826-bb7e-2ccad7d0e6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Numbe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39060-2231-423e-b8e4-c839774b599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4d1d373-9095-4cde-a3b5-7f5d63c643ff}" ma:internalName="TaxCatchAll" ma:showField="CatchAllData" ma:web="6ae39060-2231-423e-b8e4-c839774b59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4fe6f9-136b-4826-bb7e-2ccad7d0e6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Number" ma:index="24" nillable="true" ma:displayName="Number" ma:format="Dropdown" ma:internalName="Number">
      <xsd:simpleType>
        <xsd:restriction base="dms:Text">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f4fe6f9-136b-4826-bb7e-2ccad7d0e65c">
      <Terms xmlns="http://schemas.microsoft.com/office/infopath/2007/PartnerControls"/>
    </lcf76f155ced4ddcb4097134ff3c332f>
    <TaxCatchAll xmlns="6ae39060-2231-423e-b8e4-c839774b5994" xsi:nil="true"/>
    <_ip_UnifiedCompliancePolicyUIAction xmlns="http://schemas.microsoft.com/sharepoint/v3" xsi:nil="true"/>
    <_ip_UnifiedCompliancePolicyProperties xmlns="http://schemas.microsoft.com/sharepoint/v3" xsi:nil="true"/>
    <SharedWithUsers xmlns="6ae39060-2231-423e-b8e4-c839774b5994">
      <UserInfo>
        <DisplayName>TAYLOR, Hannah (NHS ENGLAND - T1510)</DisplayName>
        <AccountId>2352</AccountId>
        <AccountType/>
      </UserInfo>
      <UserInfo>
        <DisplayName>PREST, Rachel (NHS ENGLAND - T1510)</DisplayName>
        <AccountId>208</AccountId>
        <AccountType/>
      </UserInfo>
    </SharedWithUsers>
    <Number xmlns="8f4fe6f9-136b-4826-bb7e-2ccad7d0e65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292189-E843-483C-813C-37E866DD3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e39060-2231-423e-b8e4-c839774b5994"/>
    <ds:schemaRef ds:uri="8f4fe6f9-136b-4826-bb7e-2ccad7d0e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5.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8f4fe6f9-136b-4826-bb7e-2ccad7d0e65c"/>
    <ds:schemaRef ds:uri="6ae39060-2231-423e-b8e4-c839774b5994"/>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19</Pages>
  <Words>4480</Words>
  <Characters>25542</Characters>
  <Application>Microsoft Office Word</Application>
  <DocSecurity>10</DocSecurity>
  <Lines>212</Lines>
  <Paragraphs>59</Paragraphs>
  <ScaleCrop>false</ScaleCrop>
  <HeadingPairs>
    <vt:vector size="2" baseType="variant">
      <vt:variant>
        <vt:lpstr>Title</vt:lpstr>
      </vt:variant>
      <vt:variant>
        <vt:i4>1</vt:i4>
      </vt:variant>
    </vt:vector>
  </HeadingPairs>
  <TitlesOfParts>
    <vt:vector size="1" baseType="lpstr">
      <vt:lpstr>Pharmacy Technician Workforce Development Programme</vt:lpstr>
    </vt:vector>
  </TitlesOfParts>
  <Company>Health &amp; Social Care Information Centre</Company>
  <LinksUpToDate>false</LinksUpToDate>
  <CharactersWithSpaces>29963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Technician Workforce Development Programme</dc:title>
  <dc:subject/>
  <dc:creator>Bobby Wilcox</dc:creator>
  <cp:keywords/>
  <cp:lastModifiedBy>RICHARDS2, Rebecca (NHS ENGLAND - T1510)</cp:lastModifiedBy>
  <cp:revision>9</cp:revision>
  <cp:lastPrinted>2024-05-01T05:26:00Z</cp:lastPrinted>
  <dcterms:created xsi:type="dcterms:W3CDTF">2024-12-03T16:11:00Z</dcterms:created>
  <dcterms:modified xsi:type="dcterms:W3CDTF">2024-12-05T09:52:00Z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0x010100F8AC8A31E680EC4BB93558C0197B4842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