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ackground w:color="FFFFFF" w:themeColor="background1"/>
  <w:body>
    <w:p w:rsidR="00933394" w:rsidP="00214162" w:rsidRDefault="00933394" w14:paraId="66870D9C" w14:textId="62E6A043">
      <w:pPr>
        <w:jc w:val="right"/>
      </w:pPr>
    </w:p>
    <w:p w:rsidR="00933394" w:rsidP="00214162" w:rsidRDefault="00933394" w14:paraId="66221740" w14:textId="2890775C">
      <w:pPr>
        <w:jc w:val="right"/>
      </w:pPr>
    </w:p>
    <w:p w:rsidR="00933394" w:rsidP="001F54D9" w:rsidRDefault="00933394" w14:paraId="44E2DC93" w14:textId="7AAAFADC">
      <w:pPr>
        <w:jc w:val="right"/>
      </w:pPr>
    </w:p>
    <w:bookmarkStart w:name="Title" w:id="0"/>
    <w:p w:rsidRPr="009648C3" w:rsidR="00107CF7" w:rsidP="00317F85" w:rsidRDefault="00317F85" w14:paraId="55CC7080" w14:textId="6C585A1E">
      <w:pPr>
        <w:pStyle w:val="Heading1"/>
        <w:rPr>
          <w:color w:val="AE2473"/>
        </w:rPr>
      </w:pPr>
      <w:r w:rsidRPr="009648C3">
        <w:rPr>
          <w:color w:val="AE2473"/>
        </w:rPr>
        <w:fldChar w:fldCharType="begin"/>
      </w:r>
      <w:r w:rsidRPr="009648C3">
        <w:rPr>
          <w:color w:val="AE2473"/>
        </w:rPr>
        <w:instrText xml:space="preserve"> TITLE  \* FirstCap  \* MERGEFORMAT </w:instrText>
      </w:r>
      <w:r w:rsidRPr="009648C3">
        <w:rPr>
          <w:color w:val="AE2473"/>
        </w:rPr>
        <w:fldChar w:fldCharType="end"/>
      </w:r>
      <w:r w:rsidR="00AB42E3">
        <w:rPr>
          <w:color w:val="AE2473"/>
        </w:rPr>
        <w:t>HEEDs Equality</w:t>
      </w:r>
      <w:r w:rsidR="0050382C">
        <w:rPr>
          <w:color w:val="AE2473"/>
        </w:rPr>
        <w:t xml:space="preserve">, </w:t>
      </w:r>
      <w:r w:rsidR="003F48D0">
        <w:rPr>
          <w:color w:val="AE2473"/>
        </w:rPr>
        <w:t>Diversity,</w:t>
      </w:r>
      <w:r w:rsidR="00AB42E3">
        <w:rPr>
          <w:color w:val="AE2473"/>
        </w:rPr>
        <w:t xml:space="preserve"> and Inclusion </w:t>
      </w:r>
      <w:r w:rsidR="00BD4956">
        <w:rPr>
          <w:color w:val="AE2473"/>
        </w:rPr>
        <w:t xml:space="preserve">Committee </w:t>
      </w:r>
      <w:r w:rsidR="008E2B36">
        <w:rPr>
          <w:color w:val="AE2473"/>
        </w:rPr>
        <w:t xml:space="preserve">Good Practice </w:t>
      </w:r>
    </w:p>
    <w:bookmarkEnd w:id="0"/>
    <w:p w:rsidRPr="00107CF7" w:rsidR="00317F85" w:rsidP="00107CF7" w:rsidRDefault="00317F85" w14:paraId="00ADFF0F" w14:textId="77777777"/>
    <w:p w:rsidRPr="00107CF7" w:rsidR="00107CF7" w:rsidP="002B1168" w:rsidRDefault="00AB42E3" w14:paraId="1722E51C" w14:textId="6E1789BB">
      <w:pPr>
        <w:pStyle w:val="Heading2"/>
      </w:pPr>
      <w:bookmarkStart w:name="Heading2" w:id="1"/>
      <w:r>
        <w:t xml:space="preserve">Local Office/ Deans Submission: Good Practice Form </w:t>
      </w:r>
      <w:r w:rsidR="004C3258">
        <w:t xml:space="preserve">for the </w:t>
      </w:r>
      <w:r w:rsidR="008E7FC8">
        <w:t>2023</w:t>
      </w:r>
      <w:r w:rsidR="004C3258">
        <w:t xml:space="preserve"> National Report </w:t>
      </w:r>
      <w:r w:rsidR="005153F5">
        <w:t xml:space="preserve">2022/23 </w:t>
      </w:r>
      <w:bookmarkEnd w:id="1"/>
    </w:p>
    <w:p w:rsidR="00933394" w:rsidP="00107CF7" w:rsidRDefault="00933394" w14:paraId="7E971CA8" w14:textId="77777777" w14:noSpellErr="1">
      <w:bookmarkStart w:name="Heading3" w:id="2"/>
      <w:bookmarkEnd w:id="2"/>
    </w:p>
    <w:tbl>
      <w:tblPr>
        <w:tblStyle w:val="TableGrid"/>
        <w:tblW w:w="10201" w:type="dxa"/>
        <w:tblLook w:val="04A0" w:firstRow="1" w:lastRow="0" w:firstColumn="1" w:lastColumn="0" w:noHBand="0" w:noVBand="1"/>
      </w:tblPr>
      <w:tblGrid>
        <w:gridCol w:w="1977"/>
        <w:gridCol w:w="8376"/>
      </w:tblGrid>
      <w:tr w:rsidR="002B1168" w:rsidTr="002B1168" w14:paraId="2FD9A576" w14:textId="77777777">
        <w:tc>
          <w:tcPr>
            <w:tcW w:w="3138" w:type="dxa"/>
          </w:tcPr>
          <w:p w:rsidRPr="009A2393" w:rsidR="002B1168" w:rsidP="00083D1F" w:rsidRDefault="002B1168" w14:paraId="64286479" w14:textId="77777777">
            <w:pPr>
              <w:pStyle w:val="ListParagraph"/>
              <w:spacing w:line="276" w:lineRule="auto"/>
              <w:ind w:left="0"/>
              <w:rPr>
                <w:iCs/>
                <w:sz w:val="18"/>
                <w:szCs w:val="18"/>
              </w:rPr>
            </w:pPr>
            <w:r w:rsidRPr="009A2393">
              <w:rPr>
                <w:iCs/>
                <w:sz w:val="18"/>
                <w:szCs w:val="18"/>
              </w:rPr>
              <w:t>What was implemented and why?</w:t>
            </w:r>
          </w:p>
        </w:tc>
        <w:tc>
          <w:tcPr>
            <w:tcW w:w="7063" w:type="dxa"/>
          </w:tcPr>
          <w:p w:rsidR="004673E4" w:rsidP="004673E4" w:rsidRDefault="004673E4" w14:paraId="78D0BDA1" w14:textId="77777777">
            <w:pPr>
              <w:autoSpaceDE w:val="0"/>
              <w:autoSpaceDN w:val="0"/>
              <w:adjustRightInd w:val="0"/>
              <w:rPr>
                <w:rFonts w:ascii="ArialMT" w:hAnsi="ArialMT" w:cs="ArialMT"/>
                <w:sz w:val="22"/>
                <w:szCs w:val="22"/>
              </w:rPr>
            </w:pPr>
            <w:r>
              <w:rPr>
                <w:rFonts w:ascii="ArialMT" w:hAnsi="ArialMT" w:cs="ArialMT"/>
                <w:sz w:val="22"/>
                <w:szCs w:val="22"/>
              </w:rPr>
              <w:t>Differential Attainment (DA) is the term for the differences in average</w:t>
            </w:r>
          </w:p>
          <w:p w:rsidR="004673E4" w:rsidP="004673E4" w:rsidRDefault="004673E4" w14:paraId="536A4251" w14:textId="004CBEC1">
            <w:pPr>
              <w:autoSpaceDE w:val="0"/>
              <w:autoSpaceDN w:val="0"/>
              <w:adjustRightInd w:val="0"/>
              <w:rPr>
                <w:rFonts w:ascii="ArialMT" w:hAnsi="ArialMT" w:cs="ArialMT"/>
                <w:sz w:val="22"/>
                <w:szCs w:val="22"/>
              </w:rPr>
            </w:pPr>
            <w:r>
              <w:rPr>
                <w:rFonts w:ascii="ArialMT" w:hAnsi="ArialMT" w:cs="ArialMT"/>
                <w:sz w:val="22"/>
                <w:szCs w:val="22"/>
              </w:rPr>
              <w:t>achievement between different groups of doctors who do or do not share a certain characteristic. Differences because of different abilities are expected and appropriate, differences connected solely to a group’s shared characteristic, such as age, gender or ethnicity are unfair. The Equality Act (2010) outlines nine protected characteristics which confer statutory protection from discrimination on this basis.</w:t>
            </w:r>
          </w:p>
          <w:p w:rsidR="004C4C2F" w:rsidP="004673E4" w:rsidRDefault="004C4C2F" w14:paraId="1B3EAE49" w14:textId="77777777">
            <w:pPr>
              <w:autoSpaceDE w:val="0"/>
              <w:autoSpaceDN w:val="0"/>
              <w:adjustRightInd w:val="0"/>
              <w:rPr>
                <w:rFonts w:ascii="ArialMT" w:hAnsi="ArialMT" w:cs="ArialMT"/>
                <w:sz w:val="22"/>
                <w:szCs w:val="22"/>
              </w:rPr>
            </w:pPr>
          </w:p>
          <w:p w:rsidR="004673E4" w:rsidP="004673E4" w:rsidRDefault="004673E4" w14:paraId="08AB8120" w14:textId="4EB0D487">
            <w:pPr>
              <w:autoSpaceDE w:val="0"/>
              <w:autoSpaceDN w:val="0"/>
              <w:adjustRightInd w:val="0"/>
              <w:rPr>
                <w:rFonts w:ascii="ArialMT" w:hAnsi="ArialMT" w:cs="ArialMT"/>
                <w:sz w:val="22"/>
                <w:szCs w:val="22"/>
              </w:rPr>
            </w:pPr>
            <w:r>
              <w:rPr>
                <w:rFonts w:ascii="ArialMT" w:hAnsi="ArialMT" w:cs="ArialMT"/>
                <w:sz w:val="22"/>
                <w:szCs w:val="22"/>
              </w:rPr>
              <w:t>General trends indicating that poor average performances are seen amongst male, older, BME and International medical graduate (IMG) groups. The largest differences in outcome are seen when looking at doctors’ ethnicity or their country of primary medical qualification.</w:t>
            </w:r>
          </w:p>
          <w:p w:rsidR="004C4C2F" w:rsidP="004673E4" w:rsidRDefault="004C4C2F" w14:paraId="70D61522" w14:textId="77777777">
            <w:pPr>
              <w:autoSpaceDE w:val="0"/>
              <w:autoSpaceDN w:val="0"/>
              <w:adjustRightInd w:val="0"/>
              <w:rPr>
                <w:rFonts w:ascii="ArialMT" w:hAnsi="ArialMT" w:cs="ArialMT"/>
                <w:sz w:val="22"/>
                <w:szCs w:val="22"/>
              </w:rPr>
            </w:pPr>
          </w:p>
          <w:p w:rsidR="004673E4" w:rsidP="004673E4" w:rsidRDefault="004673E4" w14:paraId="2025A574" w14:textId="6F2A41C9">
            <w:pPr>
              <w:autoSpaceDE w:val="0"/>
              <w:autoSpaceDN w:val="0"/>
              <w:adjustRightInd w:val="0"/>
              <w:rPr>
                <w:rFonts w:ascii="ArialMT" w:hAnsi="ArialMT" w:cs="ArialMT"/>
                <w:sz w:val="22"/>
                <w:szCs w:val="22"/>
              </w:rPr>
            </w:pPr>
            <w:r>
              <w:rPr>
                <w:rFonts w:ascii="ArialMT" w:hAnsi="ArialMT" w:cs="ArialMT"/>
                <w:sz w:val="22"/>
                <w:szCs w:val="22"/>
              </w:rPr>
              <w:t>There is little evidence to support that any single intervention alone will alter differential attainment and most likely a variety of interventions will be needed to reduce the attainment</w:t>
            </w:r>
            <w:r w:rsidR="004C4C2F">
              <w:rPr>
                <w:rFonts w:ascii="ArialMT" w:hAnsi="ArialMT" w:cs="ArialMT"/>
                <w:sz w:val="22"/>
                <w:szCs w:val="22"/>
              </w:rPr>
              <w:t xml:space="preserve"> </w:t>
            </w:r>
            <w:r>
              <w:rPr>
                <w:rFonts w:ascii="ArialMT" w:hAnsi="ArialMT" w:cs="ArialMT"/>
                <w:sz w:val="22"/>
                <w:szCs w:val="22"/>
              </w:rPr>
              <w:t>gaps seen in postgraduate education.</w:t>
            </w:r>
          </w:p>
          <w:p w:rsidR="004673E4" w:rsidP="004673E4" w:rsidRDefault="004673E4" w14:paraId="02173A44" w14:textId="77777777">
            <w:pPr>
              <w:autoSpaceDE w:val="0"/>
              <w:autoSpaceDN w:val="0"/>
              <w:adjustRightInd w:val="0"/>
              <w:rPr>
                <w:rFonts w:ascii="ArialMT" w:hAnsi="ArialMT" w:cs="ArialMT"/>
                <w:sz w:val="22"/>
                <w:szCs w:val="22"/>
              </w:rPr>
            </w:pPr>
          </w:p>
          <w:p w:rsidR="004673E4" w:rsidP="004673E4" w:rsidRDefault="004673E4" w14:paraId="5F491B4C" w14:textId="3EACB136">
            <w:pPr>
              <w:autoSpaceDE w:val="0"/>
              <w:autoSpaceDN w:val="0"/>
              <w:adjustRightInd w:val="0"/>
              <w:rPr>
                <w:rFonts w:ascii="ArialMT" w:hAnsi="ArialMT" w:cs="ArialMT"/>
                <w:sz w:val="22"/>
                <w:szCs w:val="22"/>
              </w:rPr>
            </w:pPr>
            <w:r>
              <w:rPr>
                <w:rFonts w:ascii="ArialMT" w:hAnsi="ArialMT" w:cs="ArialMT"/>
                <w:sz w:val="22"/>
                <w:szCs w:val="22"/>
              </w:rPr>
              <w:t>We sought to better understand support and opportunities available for IMG doctors</w:t>
            </w:r>
          </w:p>
          <w:p w:rsidR="004673E4" w:rsidP="004673E4" w:rsidRDefault="004673E4" w14:paraId="12A90961" w14:textId="5022E76B">
            <w:pPr>
              <w:autoSpaceDE w:val="0"/>
              <w:autoSpaceDN w:val="0"/>
              <w:adjustRightInd w:val="0"/>
              <w:rPr>
                <w:rFonts w:ascii="ArialMT" w:hAnsi="ArialMT" w:cs="ArialMT"/>
                <w:sz w:val="22"/>
                <w:szCs w:val="22"/>
              </w:rPr>
            </w:pPr>
            <w:r>
              <w:rPr>
                <w:rFonts w:ascii="ArialMT" w:hAnsi="ArialMT" w:cs="ArialMT"/>
                <w:sz w:val="22"/>
                <w:szCs w:val="22"/>
              </w:rPr>
              <w:t>and other groups of postgraduate doctors in training affected by DA in the West-Midlands.</w:t>
            </w:r>
          </w:p>
          <w:p w:rsidR="004673E4" w:rsidP="004673E4" w:rsidRDefault="004673E4" w14:paraId="6614CDDC" w14:textId="77777777">
            <w:pPr>
              <w:autoSpaceDE w:val="0"/>
              <w:autoSpaceDN w:val="0"/>
              <w:adjustRightInd w:val="0"/>
              <w:rPr>
                <w:rFonts w:ascii="ArialMT" w:hAnsi="ArialMT" w:cs="ArialMT"/>
                <w:sz w:val="22"/>
                <w:szCs w:val="22"/>
              </w:rPr>
            </w:pPr>
          </w:p>
          <w:p w:rsidR="002B1168" w:rsidP="004C4C2F" w:rsidRDefault="004673E4" w14:paraId="05E201F4" w14:textId="41F07A8F">
            <w:pPr>
              <w:autoSpaceDE w:val="0"/>
              <w:autoSpaceDN w:val="0"/>
              <w:adjustRightInd w:val="0"/>
              <w:rPr>
                <w:i/>
                <w:sz w:val="18"/>
                <w:szCs w:val="22"/>
              </w:rPr>
            </w:pPr>
            <w:r>
              <w:rPr>
                <w:rFonts w:ascii="ArialMT" w:hAnsi="ArialMT" w:cs="ArialMT"/>
                <w:sz w:val="22"/>
                <w:szCs w:val="22"/>
              </w:rPr>
              <w:t>Thirty-minute virtual interviews were undertaken with Directors of Medical Education (or equivalent) at NHS Trusts in the West-Midlands. A questionnaire was circulated prior to the</w:t>
            </w:r>
            <w:r w:rsidR="004C4C2F">
              <w:rPr>
                <w:rFonts w:ascii="ArialMT" w:hAnsi="ArialMT" w:cs="ArialMT"/>
                <w:sz w:val="22"/>
                <w:szCs w:val="22"/>
              </w:rPr>
              <w:t xml:space="preserve"> </w:t>
            </w:r>
            <w:r>
              <w:rPr>
                <w:rFonts w:ascii="ArialMT" w:hAnsi="ArialMT" w:cs="ArialMT"/>
                <w:sz w:val="22"/>
                <w:szCs w:val="22"/>
              </w:rPr>
              <w:t>interview.</w:t>
            </w:r>
          </w:p>
          <w:p w:rsidRPr="009F2607" w:rsidR="002B1168" w:rsidP="00083D1F" w:rsidRDefault="002B1168" w14:paraId="47D7C1BB" w14:textId="10B83550">
            <w:pPr>
              <w:pStyle w:val="ListParagraph"/>
              <w:spacing w:line="276" w:lineRule="auto"/>
              <w:ind w:left="0"/>
              <w:rPr>
                <w:i/>
                <w:sz w:val="18"/>
                <w:szCs w:val="22"/>
              </w:rPr>
            </w:pPr>
          </w:p>
        </w:tc>
      </w:tr>
      <w:tr w:rsidR="002B1168" w:rsidTr="002B1168" w14:paraId="573D79E3" w14:textId="77777777">
        <w:tc>
          <w:tcPr>
            <w:tcW w:w="3138" w:type="dxa"/>
          </w:tcPr>
          <w:p w:rsidRPr="009A2393" w:rsidR="002B1168" w:rsidP="00083D1F" w:rsidRDefault="002B1168" w14:paraId="4BAD6CF8" w14:textId="77777777">
            <w:pPr>
              <w:pStyle w:val="ListParagraph"/>
              <w:spacing w:line="276" w:lineRule="auto"/>
              <w:ind w:left="0"/>
              <w:rPr>
                <w:iCs/>
                <w:sz w:val="18"/>
                <w:szCs w:val="18"/>
              </w:rPr>
            </w:pPr>
            <w:r>
              <w:rPr>
                <w:iCs/>
                <w:sz w:val="18"/>
                <w:szCs w:val="18"/>
              </w:rPr>
              <w:t>P</w:t>
            </w:r>
            <w:r w:rsidRPr="009A2393">
              <w:rPr>
                <w:iCs/>
                <w:sz w:val="18"/>
                <w:szCs w:val="18"/>
              </w:rPr>
              <w:t>rofession(s) it relates to</w:t>
            </w:r>
          </w:p>
        </w:tc>
        <w:tc>
          <w:tcPr>
            <w:tcW w:w="7063" w:type="dxa"/>
          </w:tcPr>
          <w:p w:rsidRPr="00D65D2B" w:rsidR="002B1168" w:rsidP="00083D1F" w:rsidRDefault="002B1168" w14:paraId="01C0AA49" w14:textId="77777777">
            <w:pPr>
              <w:pStyle w:val="ListParagraph"/>
              <w:spacing w:line="276" w:lineRule="auto"/>
              <w:ind w:left="0"/>
              <w:rPr>
                <w:i/>
                <w:sz w:val="22"/>
                <w:szCs w:val="22"/>
              </w:rPr>
            </w:pPr>
          </w:p>
          <w:p w:rsidRPr="00D65D2B" w:rsidR="002B1168" w:rsidP="00083D1F" w:rsidRDefault="004673E4" w14:paraId="67D1442C" w14:textId="0C28A25C">
            <w:pPr>
              <w:pStyle w:val="ListParagraph"/>
              <w:spacing w:line="276" w:lineRule="auto"/>
              <w:ind w:left="0"/>
              <w:rPr>
                <w:iCs/>
                <w:sz w:val="22"/>
                <w:szCs w:val="22"/>
              </w:rPr>
            </w:pPr>
            <w:r w:rsidRPr="00D65D2B">
              <w:rPr>
                <w:iCs/>
                <w:sz w:val="22"/>
                <w:szCs w:val="22"/>
              </w:rPr>
              <w:t>Postgraduate Doctors in Training, Nurses, SAS and LEDs</w:t>
            </w:r>
          </w:p>
          <w:p w:rsidRPr="00D65D2B" w:rsidR="002B1168" w:rsidP="00083D1F" w:rsidRDefault="002B1168" w14:paraId="573A3C69" w14:textId="57515FB3">
            <w:pPr>
              <w:pStyle w:val="ListParagraph"/>
              <w:spacing w:line="276" w:lineRule="auto"/>
              <w:ind w:left="0"/>
              <w:rPr>
                <w:i/>
                <w:sz w:val="22"/>
                <w:szCs w:val="22"/>
              </w:rPr>
            </w:pPr>
          </w:p>
        </w:tc>
      </w:tr>
      <w:tr w:rsidR="002B1168" w:rsidTr="002B1168" w14:paraId="786196B2" w14:textId="77777777">
        <w:tc>
          <w:tcPr>
            <w:tcW w:w="3138" w:type="dxa"/>
          </w:tcPr>
          <w:p w:rsidRPr="009A2393" w:rsidR="002B1168" w:rsidP="00083D1F" w:rsidRDefault="002B1168" w14:paraId="6C79DF4A" w14:textId="5C903C03">
            <w:pPr>
              <w:pStyle w:val="ListParagraph"/>
              <w:spacing w:line="276" w:lineRule="auto"/>
              <w:ind w:left="0"/>
              <w:rPr>
                <w:iCs/>
                <w:sz w:val="18"/>
                <w:szCs w:val="18"/>
              </w:rPr>
            </w:pPr>
            <w:r w:rsidRPr="009A2393">
              <w:rPr>
                <w:iCs/>
                <w:sz w:val="18"/>
                <w:szCs w:val="18"/>
              </w:rPr>
              <w:lastRenderedPageBreak/>
              <w:t>HEE domain(s)</w:t>
            </w:r>
            <w:r w:rsidR="00CA1C96">
              <w:rPr>
                <w:iCs/>
                <w:sz w:val="18"/>
                <w:szCs w:val="18"/>
              </w:rPr>
              <w:t>,</w:t>
            </w:r>
            <w:r w:rsidRPr="009A2393">
              <w:rPr>
                <w:iCs/>
                <w:sz w:val="18"/>
                <w:szCs w:val="18"/>
              </w:rPr>
              <w:t xml:space="preserve">standard(s) </w:t>
            </w:r>
            <w:r w:rsidR="00CA1C96">
              <w:rPr>
                <w:iCs/>
                <w:sz w:val="18"/>
                <w:szCs w:val="18"/>
              </w:rPr>
              <w:t xml:space="preserve">and EDI themes </w:t>
            </w:r>
            <w:r w:rsidRPr="009A2393">
              <w:rPr>
                <w:iCs/>
                <w:sz w:val="18"/>
                <w:szCs w:val="18"/>
              </w:rPr>
              <w:t>it relates to</w:t>
            </w:r>
          </w:p>
        </w:tc>
        <w:tc>
          <w:tcPr>
            <w:tcW w:w="7063" w:type="dxa"/>
          </w:tcPr>
          <w:p w:rsidRPr="00D65D2B" w:rsidR="002B1168" w:rsidP="000007FE" w:rsidRDefault="00B36E63" w14:paraId="337A6CC0" w14:textId="22653077">
            <w:pPr>
              <w:pStyle w:val="ListParagraph"/>
              <w:spacing w:line="276" w:lineRule="auto"/>
              <w:ind w:left="0"/>
              <w:rPr>
                <w:i/>
                <w:sz w:val="22"/>
                <w:szCs w:val="22"/>
              </w:rPr>
            </w:pPr>
            <w:r w:rsidRPr="00D65D2B">
              <w:rPr>
                <w:iCs/>
                <w:sz w:val="22"/>
                <w:szCs w:val="22"/>
              </w:rPr>
              <w:t>Learning environment and culture</w:t>
            </w:r>
            <w:r w:rsidRPr="00D65D2B" w:rsidR="00F41201">
              <w:rPr>
                <w:iCs/>
                <w:sz w:val="22"/>
                <w:szCs w:val="22"/>
              </w:rPr>
              <w:t xml:space="preserve">, Educational governance and commitment to quality </w:t>
            </w:r>
            <w:r w:rsidRPr="00D65D2B">
              <w:rPr>
                <w:iCs/>
                <w:sz w:val="22"/>
                <w:szCs w:val="22"/>
              </w:rPr>
              <w:t>– sharing good practice across organisations and multi-disciplinary specialisms</w:t>
            </w:r>
            <w:r w:rsidR="000007FE">
              <w:rPr>
                <w:iCs/>
                <w:sz w:val="22"/>
                <w:szCs w:val="22"/>
              </w:rPr>
              <w:t xml:space="preserve">. Differential Attainment </w:t>
            </w:r>
          </w:p>
        </w:tc>
      </w:tr>
      <w:tr w:rsidR="002B1168" w:rsidTr="002B1168" w14:paraId="0F89C648" w14:textId="77777777">
        <w:tc>
          <w:tcPr>
            <w:tcW w:w="3138" w:type="dxa"/>
          </w:tcPr>
          <w:p w:rsidRPr="009A2393" w:rsidR="002B1168" w:rsidP="00083D1F" w:rsidRDefault="002B1168" w14:paraId="52DF1357" w14:textId="77777777">
            <w:pPr>
              <w:pStyle w:val="ListParagraph"/>
              <w:spacing w:line="276" w:lineRule="auto"/>
              <w:ind w:left="0"/>
              <w:rPr>
                <w:iCs/>
                <w:sz w:val="18"/>
                <w:szCs w:val="18"/>
              </w:rPr>
            </w:pPr>
            <w:r w:rsidRPr="009A2393">
              <w:rPr>
                <w:iCs/>
                <w:sz w:val="18"/>
                <w:szCs w:val="18"/>
              </w:rPr>
              <w:t>Benefits or positive impact?</w:t>
            </w:r>
          </w:p>
        </w:tc>
        <w:tc>
          <w:tcPr>
            <w:tcW w:w="7063" w:type="dxa"/>
          </w:tcPr>
          <w:p w:rsidRPr="004C4C2F" w:rsidR="004C4C2F" w:rsidP="004C4C2F" w:rsidRDefault="004C4C2F" w14:paraId="2F5E8BBD" w14:textId="0A4130E9">
            <w:pPr>
              <w:jc w:val="both"/>
              <w:rPr>
                <w:rFonts w:cs="Arial"/>
                <w:sz w:val="22"/>
                <w:szCs w:val="22"/>
              </w:rPr>
            </w:pPr>
            <w:r w:rsidRPr="004C4C2F">
              <w:rPr>
                <w:rFonts w:cs="Arial"/>
                <w:sz w:val="22"/>
                <w:szCs w:val="22"/>
              </w:rPr>
              <w:t>There was a 55% response rate (12/22) from NHS Trusts across the West Midlands, which included the largest trusts in the region. The results are summarised below:</w:t>
            </w:r>
          </w:p>
          <w:p w:rsidRPr="004C4C2F" w:rsidR="004C4C2F" w:rsidP="004C4C2F" w:rsidRDefault="004C4C2F" w14:paraId="01FE0F06" w14:textId="0A930B63">
            <w:pPr>
              <w:jc w:val="both"/>
              <w:rPr>
                <w:rFonts w:cs="Arial"/>
                <w:sz w:val="22"/>
                <w:szCs w:val="22"/>
              </w:rPr>
            </w:pPr>
          </w:p>
          <w:p w:rsidR="004C4C2F" w:rsidP="004C4C2F" w:rsidRDefault="004C4C2F" w14:paraId="46287CE7" w14:textId="05917719">
            <w:pPr>
              <w:jc w:val="both"/>
              <w:rPr>
                <w:rFonts w:cs="Arial"/>
              </w:rPr>
            </w:pPr>
            <w:r>
              <w:rPr>
                <w:rFonts w:cs="Arial"/>
                <w:noProof/>
              </w:rPr>
              <w:drawing>
                <wp:inline distT="0" distB="0" distL="0" distR="0" wp14:anchorId="3892AB9C" wp14:editId="6D4875BC">
                  <wp:extent cx="5173170" cy="1949450"/>
                  <wp:effectExtent l="0" t="0" r="8890" b="0"/>
                  <wp:docPr id="1" name="Picture 1"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with medium confidence"/>
                          <pic:cNvPicPr/>
                        </pic:nvPicPr>
                        <pic:blipFill>
                          <a:blip r:embed="rId12"/>
                          <a:stretch>
                            <a:fillRect/>
                          </a:stretch>
                        </pic:blipFill>
                        <pic:spPr>
                          <a:xfrm>
                            <a:off x="0" y="0"/>
                            <a:ext cx="5182802" cy="1953080"/>
                          </a:xfrm>
                          <a:prstGeom prst="rect">
                            <a:avLst/>
                          </a:prstGeom>
                        </pic:spPr>
                      </pic:pic>
                    </a:graphicData>
                  </a:graphic>
                </wp:inline>
              </w:drawing>
            </w:r>
          </w:p>
          <w:p w:rsidRPr="00000945" w:rsidR="004C4C2F" w:rsidP="004C4C2F" w:rsidRDefault="004C4C2F" w14:paraId="68E51BFE" w14:textId="77777777">
            <w:pPr>
              <w:rPr>
                <w:rFonts w:cs="Arial"/>
                <w:sz w:val="16"/>
                <w:szCs w:val="16"/>
              </w:rPr>
            </w:pPr>
            <w:r w:rsidRPr="00000945">
              <w:rPr>
                <w:rFonts w:cs="Arial"/>
                <w:sz w:val="16"/>
                <w:szCs w:val="16"/>
              </w:rPr>
              <w:t xml:space="preserve">Key: </w:t>
            </w:r>
          </w:p>
          <w:p w:rsidRPr="00000945" w:rsidR="004C4C2F" w:rsidP="004C4C2F" w:rsidRDefault="004C4C2F" w14:paraId="386FCFD1" w14:textId="77777777">
            <w:pPr>
              <w:rPr>
                <w:rFonts w:cs="Arial"/>
                <w:sz w:val="16"/>
                <w:szCs w:val="16"/>
              </w:rPr>
            </w:pPr>
            <w:r w:rsidRPr="00000945">
              <w:rPr>
                <w:rFonts w:cs="Arial"/>
                <w:sz w:val="16"/>
                <w:szCs w:val="16"/>
              </w:rPr>
              <w:t>X Activity Undertaken</w:t>
            </w:r>
          </w:p>
          <w:p w:rsidRPr="00000945" w:rsidR="004C4C2F" w:rsidP="004C4C2F" w:rsidRDefault="004C4C2F" w14:paraId="34845806" w14:textId="77777777">
            <w:pPr>
              <w:rPr>
                <w:rFonts w:cs="Arial"/>
                <w:sz w:val="16"/>
                <w:szCs w:val="16"/>
              </w:rPr>
            </w:pPr>
            <w:r w:rsidRPr="00000945">
              <w:rPr>
                <w:rFonts w:cs="Arial"/>
                <w:sz w:val="16"/>
                <w:szCs w:val="16"/>
              </w:rPr>
              <w:t>IP – Activity ‘In Progress’</w:t>
            </w:r>
          </w:p>
          <w:p w:rsidRPr="00000945" w:rsidR="004C4C2F" w:rsidP="004C4C2F" w:rsidRDefault="004C4C2F" w14:paraId="5431A283" w14:textId="77777777">
            <w:pPr>
              <w:rPr>
                <w:rFonts w:cs="Arial"/>
                <w:sz w:val="16"/>
                <w:szCs w:val="16"/>
              </w:rPr>
            </w:pPr>
            <w:r w:rsidRPr="00000945">
              <w:rPr>
                <w:rFonts w:cs="Arial"/>
                <w:sz w:val="16"/>
                <w:szCs w:val="16"/>
              </w:rPr>
              <w:t>Var – Variable</w:t>
            </w:r>
          </w:p>
          <w:p w:rsidRPr="00000945" w:rsidR="004C4C2F" w:rsidP="004C4C2F" w:rsidRDefault="004C4C2F" w14:paraId="0F346E9C" w14:textId="77777777">
            <w:pPr>
              <w:rPr>
                <w:rFonts w:cs="Arial"/>
                <w:sz w:val="16"/>
                <w:szCs w:val="16"/>
              </w:rPr>
            </w:pPr>
            <w:r w:rsidRPr="00000945">
              <w:rPr>
                <w:rFonts w:cs="Arial"/>
                <w:sz w:val="16"/>
                <w:szCs w:val="16"/>
              </w:rPr>
              <w:t>NK – Not Known</w:t>
            </w:r>
          </w:p>
          <w:p w:rsidRPr="00000945" w:rsidR="004C4C2F" w:rsidP="004C4C2F" w:rsidRDefault="004C4C2F" w14:paraId="6984032D" w14:textId="77777777">
            <w:pPr>
              <w:rPr>
                <w:rFonts w:cs="Arial"/>
                <w:sz w:val="16"/>
                <w:szCs w:val="16"/>
              </w:rPr>
            </w:pPr>
          </w:p>
          <w:p w:rsidR="004C4C2F" w:rsidP="004673E4" w:rsidRDefault="004C4C2F" w14:paraId="1C3C649C" w14:textId="77777777">
            <w:pPr>
              <w:autoSpaceDE w:val="0"/>
              <w:autoSpaceDN w:val="0"/>
              <w:adjustRightInd w:val="0"/>
              <w:rPr>
                <w:rFonts w:ascii="ArialMT" w:hAnsi="ArialMT" w:cs="ArialMT"/>
                <w:sz w:val="22"/>
                <w:szCs w:val="22"/>
              </w:rPr>
            </w:pPr>
          </w:p>
          <w:p w:rsidR="002B1168" w:rsidP="004673E4" w:rsidRDefault="004673E4" w14:paraId="2A14BB10" w14:textId="6216B576">
            <w:pPr>
              <w:autoSpaceDE w:val="0"/>
              <w:autoSpaceDN w:val="0"/>
              <w:adjustRightInd w:val="0"/>
              <w:rPr>
                <w:rFonts w:ascii="ArialMT" w:hAnsi="ArialMT" w:cs="ArialMT"/>
                <w:sz w:val="22"/>
                <w:szCs w:val="22"/>
              </w:rPr>
            </w:pPr>
            <w:r>
              <w:rPr>
                <w:rFonts w:ascii="ArialMT" w:hAnsi="ArialMT" w:cs="ArialMT"/>
                <w:sz w:val="22"/>
                <w:szCs w:val="22"/>
              </w:rPr>
              <w:t>This piece of work allowed an opportunity to share good practice across different organisations and embed this within the existing educational governance process.</w:t>
            </w:r>
          </w:p>
          <w:p w:rsidRPr="009F2607" w:rsidR="002B1168" w:rsidP="00083D1F" w:rsidRDefault="002B1168" w14:paraId="52F5C101" w14:textId="78591A31">
            <w:pPr>
              <w:pStyle w:val="ListParagraph"/>
              <w:spacing w:line="276" w:lineRule="auto"/>
              <w:ind w:left="0"/>
              <w:rPr>
                <w:i/>
                <w:sz w:val="18"/>
                <w:szCs w:val="22"/>
              </w:rPr>
            </w:pPr>
          </w:p>
        </w:tc>
      </w:tr>
      <w:tr w:rsidR="002B1168" w:rsidTr="002B1168" w14:paraId="3C99DA55" w14:textId="77777777">
        <w:tc>
          <w:tcPr>
            <w:tcW w:w="3138" w:type="dxa"/>
          </w:tcPr>
          <w:p w:rsidRPr="009A2393" w:rsidR="002B1168" w:rsidP="00083D1F" w:rsidRDefault="002B1168" w14:paraId="3388736D" w14:textId="77777777">
            <w:pPr>
              <w:pStyle w:val="ListParagraph"/>
              <w:spacing w:line="276" w:lineRule="auto"/>
              <w:ind w:left="0"/>
              <w:rPr>
                <w:iCs/>
                <w:sz w:val="18"/>
                <w:szCs w:val="18"/>
              </w:rPr>
            </w:pPr>
            <w:r w:rsidRPr="009A2393">
              <w:rPr>
                <w:iCs/>
                <w:sz w:val="18"/>
                <w:szCs w:val="18"/>
              </w:rPr>
              <w:t>Lessons learned and difficulties encountered</w:t>
            </w:r>
          </w:p>
        </w:tc>
        <w:tc>
          <w:tcPr>
            <w:tcW w:w="7063" w:type="dxa"/>
          </w:tcPr>
          <w:p w:rsidR="002B1168" w:rsidP="004673E4" w:rsidRDefault="004673E4" w14:paraId="30EFC05B" w14:textId="4DD8BF40">
            <w:pPr>
              <w:autoSpaceDE w:val="0"/>
              <w:autoSpaceDN w:val="0"/>
              <w:adjustRightInd w:val="0"/>
              <w:rPr>
                <w:i/>
                <w:sz w:val="18"/>
                <w:szCs w:val="22"/>
              </w:rPr>
            </w:pPr>
            <w:r>
              <w:rPr>
                <w:rFonts w:ascii="ArialMT" w:hAnsi="ArialMT" w:cs="ArialMT"/>
                <w:sz w:val="22"/>
                <w:szCs w:val="22"/>
              </w:rPr>
              <w:t xml:space="preserve">Although it was evident a significant number of Trust are taking steps to address the issues around narrowing the attainment gap, however, there is still a need for further work and engage organisations and </w:t>
            </w:r>
            <w:r w:rsidR="004C4C2F">
              <w:rPr>
                <w:rFonts w:ascii="ArialMT" w:hAnsi="ArialMT" w:cs="ArialMT"/>
                <w:sz w:val="22"/>
                <w:szCs w:val="22"/>
              </w:rPr>
              <w:t>key individuals</w:t>
            </w:r>
            <w:r>
              <w:rPr>
                <w:rFonts w:ascii="ArialMT" w:hAnsi="ArialMT" w:cs="ArialMT"/>
                <w:sz w:val="22"/>
                <w:szCs w:val="22"/>
              </w:rPr>
              <w:t xml:space="preserve"> more widely. </w:t>
            </w:r>
          </w:p>
          <w:p w:rsidR="002B1168" w:rsidP="00083D1F" w:rsidRDefault="002B1168" w14:paraId="0DDB24C0" w14:textId="77777777">
            <w:pPr>
              <w:pStyle w:val="ListParagraph"/>
              <w:spacing w:line="276" w:lineRule="auto"/>
              <w:ind w:left="0"/>
              <w:rPr>
                <w:i/>
                <w:sz w:val="18"/>
                <w:szCs w:val="22"/>
              </w:rPr>
            </w:pPr>
          </w:p>
          <w:p w:rsidRPr="009F2607" w:rsidR="002B1168" w:rsidP="00083D1F" w:rsidRDefault="002B1168" w14:paraId="14C0EA14" w14:textId="78B333E7">
            <w:pPr>
              <w:pStyle w:val="ListParagraph"/>
              <w:spacing w:line="276" w:lineRule="auto"/>
              <w:ind w:left="0"/>
              <w:rPr>
                <w:i/>
                <w:sz w:val="18"/>
                <w:szCs w:val="22"/>
              </w:rPr>
            </w:pPr>
          </w:p>
        </w:tc>
      </w:tr>
      <w:tr w:rsidR="002B1168" w:rsidTr="002B1168" w14:paraId="29B95B19" w14:textId="77777777">
        <w:tc>
          <w:tcPr>
            <w:tcW w:w="3138" w:type="dxa"/>
          </w:tcPr>
          <w:p w:rsidRPr="009A2393" w:rsidR="002B1168" w:rsidP="00083D1F" w:rsidRDefault="002B1168" w14:paraId="7559C040" w14:textId="77777777">
            <w:pPr>
              <w:pStyle w:val="ListParagraph"/>
              <w:spacing w:line="276" w:lineRule="auto"/>
              <w:ind w:left="0"/>
              <w:rPr>
                <w:iCs/>
                <w:sz w:val="18"/>
                <w:szCs w:val="18"/>
              </w:rPr>
            </w:pPr>
            <w:r w:rsidRPr="009A2393">
              <w:rPr>
                <w:iCs/>
                <w:sz w:val="18"/>
                <w:szCs w:val="18"/>
              </w:rPr>
              <w:t>Contact for further information (name, role, email, tel</w:t>
            </w:r>
            <w:r>
              <w:rPr>
                <w:iCs/>
                <w:sz w:val="18"/>
                <w:szCs w:val="18"/>
              </w:rPr>
              <w:t>ephone</w:t>
            </w:r>
            <w:r w:rsidRPr="009A2393">
              <w:rPr>
                <w:iCs/>
                <w:sz w:val="18"/>
                <w:szCs w:val="18"/>
              </w:rPr>
              <w:t xml:space="preserve"> number)</w:t>
            </w:r>
          </w:p>
        </w:tc>
        <w:tc>
          <w:tcPr>
            <w:tcW w:w="7063" w:type="dxa"/>
          </w:tcPr>
          <w:p w:rsidR="002B1168" w:rsidP="00083D1F" w:rsidRDefault="002B1168" w14:paraId="1ECE5BF4" w14:textId="77777777">
            <w:pPr>
              <w:pStyle w:val="ListParagraph"/>
              <w:spacing w:line="276" w:lineRule="auto"/>
              <w:ind w:left="0"/>
              <w:rPr>
                <w:i/>
                <w:sz w:val="18"/>
                <w:szCs w:val="22"/>
              </w:rPr>
            </w:pPr>
          </w:p>
          <w:p w:rsidR="00623880" w:rsidP="00083D1F" w:rsidRDefault="004C4C2F" w14:paraId="3E5F883D" w14:textId="46A3B95F">
            <w:pPr>
              <w:pStyle w:val="ListParagraph"/>
              <w:spacing w:line="276" w:lineRule="auto"/>
              <w:ind w:left="0"/>
              <w:rPr>
                <w:iCs/>
                <w:sz w:val="18"/>
                <w:szCs w:val="22"/>
              </w:rPr>
            </w:pPr>
            <w:r>
              <w:rPr>
                <w:iCs/>
                <w:sz w:val="18"/>
                <w:szCs w:val="22"/>
              </w:rPr>
              <w:t xml:space="preserve">Professor Sailesh Sankar </w:t>
            </w:r>
          </w:p>
          <w:p w:rsidR="004C4C2F" w:rsidP="00083D1F" w:rsidRDefault="004C4C2F" w14:paraId="120B5BC3" w14:textId="2532C29A">
            <w:pPr>
              <w:pStyle w:val="ListParagraph"/>
              <w:spacing w:line="276" w:lineRule="auto"/>
              <w:ind w:left="0"/>
              <w:rPr>
                <w:iCs/>
                <w:sz w:val="18"/>
                <w:szCs w:val="22"/>
              </w:rPr>
            </w:pPr>
            <w:r>
              <w:rPr>
                <w:iCs/>
                <w:sz w:val="18"/>
                <w:szCs w:val="22"/>
              </w:rPr>
              <w:t>Associate Dean for Differential Attainment and SuppoRTT</w:t>
            </w:r>
          </w:p>
          <w:p w:rsidRPr="004C4C2F" w:rsidR="004C4C2F" w:rsidP="00083D1F" w:rsidRDefault="00000000" w14:paraId="27606371" w14:textId="392FCEF3">
            <w:pPr>
              <w:pStyle w:val="ListParagraph"/>
              <w:spacing w:line="276" w:lineRule="auto"/>
              <w:ind w:left="0"/>
              <w:rPr>
                <w:iCs/>
                <w:sz w:val="18"/>
                <w:szCs w:val="22"/>
              </w:rPr>
            </w:pPr>
            <w:hyperlink w:history="1" r:id="rId13">
              <w:r w:rsidRPr="00B67F0B" w:rsidR="004C4C2F">
                <w:rPr>
                  <w:rStyle w:val="Hyperlink"/>
                  <w:iCs/>
                  <w:sz w:val="18"/>
                  <w:szCs w:val="22"/>
                </w:rPr>
                <w:t>Sailesh.sankar@hee.nhs.uk</w:t>
              </w:r>
            </w:hyperlink>
            <w:r w:rsidR="004C4C2F">
              <w:rPr>
                <w:iCs/>
                <w:sz w:val="18"/>
                <w:szCs w:val="22"/>
              </w:rPr>
              <w:t xml:space="preserve"> </w:t>
            </w:r>
          </w:p>
          <w:p w:rsidR="00623880" w:rsidP="00083D1F" w:rsidRDefault="00623880" w14:paraId="2C44F566" w14:textId="77777777">
            <w:pPr>
              <w:pStyle w:val="ListParagraph"/>
              <w:spacing w:line="276" w:lineRule="auto"/>
              <w:ind w:left="0"/>
              <w:rPr>
                <w:i/>
                <w:sz w:val="18"/>
                <w:szCs w:val="22"/>
              </w:rPr>
            </w:pPr>
          </w:p>
          <w:p w:rsidRPr="009F2607" w:rsidR="00623880" w:rsidP="00083D1F" w:rsidRDefault="00623880" w14:paraId="6EB63FC5" w14:textId="71FA5969">
            <w:pPr>
              <w:pStyle w:val="ListParagraph"/>
              <w:spacing w:line="276" w:lineRule="auto"/>
              <w:ind w:left="0"/>
              <w:rPr>
                <w:i/>
                <w:sz w:val="18"/>
                <w:szCs w:val="22"/>
              </w:rPr>
            </w:pPr>
          </w:p>
        </w:tc>
      </w:tr>
    </w:tbl>
    <w:p w:rsidR="002B1168" w:rsidP="002B1168" w:rsidRDefault="002B1168" w14:paraId="46E89125" w14:textId="77777777">
      <w:pPr>
        <w:pStyle w:val="ListParagraph"/>
        <w:spacing w:line="276" w:lineRule="auto"/>
        <w:ind w:left="0"/>
        <w:rPr>
          <w:i/>
          <w:color w:val="0070C0"/>
          <w:sz w:val="18"/>
          <w:szCs w:val="22"/>
        </w:rPr>
      </w:pPr>
    </w:p>
    <w:p w:rsidR="002B1168" w:rsidP="002B1168" w:rsidRDefault="002B1168" w14:paraId="37EFE269" w14:textId="77777777">
      <w:pPr>
        <w:pStyle w:val="NoSpacing"/>
        <w:rPr>
          <w:i/>
          <w:color w:val="0070C0"/>
          <w:sz w:val="18"/>
        </w:rPr>
      </w:pPr>
    </w:p>
    <w:p w:rsidRPr="00DA527C" w:rsidR="00933394" w:rsidP="00DA527C" w:rsidRDefault="00B04DBD" w14:paraId="032A35F0" w14:noSpellErr="1" w14:textId="1AA93E6D"/>
    <w:sectPr w:rsidRPr="00DA527C" w:rsidR="00933394" w:rsidSect="00271A5C">
      <w:headerReference w:type="even" r:id="rId14"/>
      <w:headerReference w:type="default" r:id="rId15"/>
      <w:footerReference w:type="even" r:id="rId16"/>
      <w:footerReference w:type="default" r:id="rId17"/>
      <w:headerReference w:type="first" r:id="rId18"/>
      <w:footerReference w:type="first" r:id="rId19"/>
      <w:type w:val="continuous"/>
      <w:pgSz w:w="11900" w:h="16820" w:orient="portrait"/>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404F" w:rsidP="00AC72FD" w:rsidRDefault="0032404F" w14:paraId="54AAC596" w14:textId="77777777">
      <w:r>
        <w:separator/>
      </w:r>
    </w:p>
  </w:endnote>
  <w:endnote w:type="continuationSeparator" w:id="0">
    <w:p w:rsidR="0032404F" w:rsidP="00AC72FD" w:rsidRDefault="0032404F" w14:paraId="4156983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2809" w:rsidP="00184133" w:rsidRDefault="00ED2809" w14:paraId="3E2849E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2809" w:rsidP="0091039C" w:rsidRDefault="00ED2809" w14:paraId="2AA81376"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C3EE5" w:rsidR="00ED2809" w:rsidP="009D32F5" w:rsidRDefault="00ED2809" w14:paraId="3D6A9011" w14:textId="77777777">
    <w:pPr>
      <w:pStyle w:val="Footer"/>
      <w:framePr w:wrap="around" w:hAnchor="margin" w:vAnchor="text"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Pr="00BC3EE5" w:rsidR="009648C3">
      <w:rPr>
        <w:rStyle w:val="PageNumber"/>
        <w:noProof/>
        <w:color w:val="000000"/>
        <w:sz w:val="20"/>
        <w:szCs w:val="20"/>
      </w:rPr>
      <w:t>2</w:t>
    </w:r>
    <w:r w:rsidRPr="00BC3EE5">
      <w:rPr>
        <w:rStyle w:val="PageNumber"/>
        <w:color w:val="000000"/>
        <w:sz w:val="20"/>
        <w:szCs w:val="20"/>
      </w:rPr>
      <w:fldChar w:fldCharType="end"/>
    </w:r>
  </w:p>
  <w:p w:rsidR="00ED2809" w:rsidP="007F2CB8" w:rsidRDefault="00ED2809" w14:paraId="3C25A8D4" w14:textId="77777777">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F6705A" w:rsidRDefault="00F6705A" w14:paraId="73DB9BE4" w14:textId="453E91D3">
    <w:pPr>
      <w:pStyle w:val="Footer"/>
    </w:pPr>
    <w:r>
      <w:rPr>
        <w:noProof/>
      </w:rPr>
      <w:drawing>
        <wp:anchor distT="0" distB="0" distL="114300" distR="114300" simplePos="0" relativeHeight="251660288" behindDoc="1" locked="0" layoutInCell="1" allowOverlap="1" wp14:anchorId="0C6D129D" wp14:editId="51B55A0C">
          <wp:simplePos x="0" y="0"/>
          <wp:positionH relativeFrom="column">
            <wp:posOffset>-537882</wp:posOffset>
          </wp:positionH>
          <wp:positionV relativeFrom="paragraph">
            <wp:posOffset>-365760</wp:posOffset>
          </wp:positionV>
          <wp:extent cx="7560000" cy="902189"/>
          <wp:effectExtent l="0" t="0" r="0" b="0"/>
          <wp:wrapNone/>
          <wp:docPr id="4" name="Picture 4"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404F" w:rsidP="00AC72FD" w:rsidRDefault="0032404F" w14:paraId="694B3F7E" w14:textId="77777777">
      <w:r>
        <w:separator/>
      </w:r>
    </w:p>
  </w:footnote>
  <w:footnote w:type="continuationSeparator" w:id="0">
    <w:p w:rsidR="0032404F" w:rsidP="00AC72FD" w:rsidRDefault="0032404F" w14:paraId="6683390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1E52" w:rsidRDefault="00871E52" w14:paraId="67B4BA5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C72FD" w:rsidR="00ED2809" w:rsidP="00964AF4" w:rsidRDefault="00ED2809" w14:paraId="47A7E1D7" w14:textId="77777777">
    <w:pPr>
      <w:pStyle w:val="Heading2"/>
      <w:spacing w:after="400"/>
      <w:jc w:val="right"/>
    </w:pPr>
    <w:r>
      <w:t>Document title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71E52" w:rsidRDefault="000000C9" w14:paraId="58F6DCD3" w14:textId="7B892DC8">
    <w:pPr>
      <w:pStyle w:val="Header"/>
    </w:pPr>
    <w:r>
      <w:rPr>
        <w:noProof/>
      </w:rPr>
      <w:drawing>
        <wp:anchor distT="0" distB="0" distL="114300" distR="114300" simplePos="0" relativeHeight="251659264" behindDoc="1" locked="0" layoutInCell="1" allowOverlap="1" wp14:anchorId="58654015" wp14:editId="67CE264D">
          <wp:simplePos x="0" y="0"/>
          <wp:positionH relativeFrom="column">
            <wp:posOffset>3231243</wp:posOffset>
          </wp:positionH>
          <wp:positionV relativeFrom="paragraph">
            <wp:posOffset>-360045</wp:posOffset>
          </wp:positionV>
          <wp:extent cx="3784600" cy="1435100"/>
          <wp:effectExtent l="0" t="0" r="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3784600" cy="14351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007FE"/>
    <w:rsid w:val="00101FB9"/>
    <w:rsid w:val="00107CF7"/>
    <w:rsid w:val="001263B4"/>
    <w:rsid w:val="00135A54"/>
    <w:rsid w:val="00160004"/>
    <w:rsid w:val="00184133"/>
    <w:rsid w:val="001A3B4D"/>
    <w:rsid w:val="001A70C0"/>
    <w:rsid w:val="001B45BF"/>
    <w:rsid w:val="001D4F3A"/>
    <w:rsid w:val="001F54D9"/>
    <w:rsid w:val="00214162"/>
    <w:rsid w:val="0025038D"/>
    <w:rsid w:val="00271A5C"/>
    <w:rsid w:val="0029375D"/>
    <w:rsid w:val="002A20C3"/>
    <w:rsid w:val="002B1168"/>
    <w:rsid w:val="002D6889"/>
    <w:rsid w:val="002E49BA"/>
    <w:rsid w:val="00317F85"/>
    <w:rsid w:val="0032404F"/>
    <w:rsid w:val="00366C2F"/>
    <w:rsid w:val="0038048C"/>
    <w:rsid w:val="003F48D0"/>
    <w:rsid w:val="0042708F"/>
    <w:rsid w:val="004303E9"/>
    <w:rsid w:val="004673E4"/>
    <w:rsid w:val="004C3258"/>
    <w:rsid w:val="004C4C2F"/>
    <w:rsid w:val="004F47A4"/>
    <w:rsid w:val="0050382C"/>
    <w:rsid w:val="00511668"/>
    <w:rsid w:val="005153F5"/>
    <w:rsid w:val="005B14FC"/>
    <w:rsid w:val="005C7973"/>
    <w:rsid w:val="005C7ECA"/>
    <w:rsid w:val="00623880"/>
    <w:rsid w:val="00683AD2"/>
    <w:rsid w:val="0070E292"/>
    <w:rsid w:val="007408EC"/>
    <w:rsid w:val="00782D6A"/>
    <w:rsid w:val="007E65D8"/>
    <w:rsid w:val="007F2CB8"/>
    <w:rsid w:val="00804F3F"/>
    <w:rsid w:val="00826259"/>
    <w:rsid w:val="00832F64"/>
    <w:rsid w:val="00861C74"/>
    <w:rsid w:val="00871E52"/>
    <w:rsid w:val="008B0C2E"/>
    <w:rsid w:val="008E2B36"/>
    <w:rsid w:val="008E7FC8"/>
    <w:rsid w:val="008F1A3E"/>
    <w:rsid w:val="00906015"/>
    <w:rsid w:val="0091039C"/>
    <w:rsid w:val="00933394"/>
    <w:rsid w:val="009648C3"/>
    <w:rsid w:val="00964AF4"/>
    <w:rsid w:val="009D32F5"/>
    <w:rsid w:val="009E2641"/>
    <w:rsid w:val="00A030ED"/>
    <w:rsid w:val="00A41F17"/>
    <w:rsid w:val="00A52947"/>
    <w:rsid w:val="00A76867"/>
    <w:rsid w:val="00A96D85"/>
    <w:rsid w:val="00AA400D"/>
    <w:rsid w:val="00AB42E3"/>
    <w:rsid w:val="00AC72FD"/>
    <w:rsid w:val="00AD3004"/>
    <w:rsid w:val="00B02348"/>
    <w:rsid w:val="00B04DBD"/>
    <w:rsid w:val="00B36E63"/>
    <w:rsid w:val="00B44DC5"/>
    <w:rsid w:val="00BB2C27"/>
    <w:rsid w:val="00BC3EE5"/>
    <w:rsid w:val="00BD4956"/>
    <w:rsid w:val="00BE049C"/>
    <w:rsid w:val="00C67D56"/>
    <w:rsid w:val="00C949AE"/>
    <w:rsid w:val="00CA1C96"/>
    <w:rsid w:val="00CA7EEA"/>
    <w:rsid w:val="00CF3B93"/>
    <w:rsid w:val="00D3390A"/>
    <w:rsid w:val="00D40C54"/>
    <w:rsid w:val="00D65D2B"/>
    <w:rsid w:val="00D743DB"/>
    <w:rsid w:val="00DA527C"/>
    <w:rsid w:val="00DF6A80"/>
    <w:rsid w:val="00E25F6B"/>
    <w:rsid w:val="00EA29F1"/>
    <w:rsid w:val="00EA3FAA"/>
    <w:rsid w:val="00ED2809"/>
    <w:rsid w:val="00ED46E1"/>
    <w:rsid w:val="00F41201"/>
    <w:rsid w:val="00F44625"/>
    <w:rsid w:val="00F5593D"/>
    <w:rsid w:val="00F6705A"/>
    <w:rsid w:val="00F715AC"/>
    <w:rsid w:val="00FB0FE2"/>
    <w:rsid w:val="00FC54F1"/>
    <w:rsid w:val="6E4EF4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cs="Arial" w:eastAsiaTheme="majorEastAsia"/>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styleId="HeaderChar" w:customStyle="1">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styleId="FooterChar" w:customStyle="1">
    <w:name w:val="Footer Char"/>
    <w:basedOn w:val="DefaultParagraphFont"/>
    <w:link w:val="Footer"/>
    <w:uiPriority w:val="99"/>
    <w:rsid w:val="00AC72FD"/>
  </w:style>
  <w:style w:type="paragraph" w:styleId="BasicParagraph" w:customStyle="1">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styleId="Heading1Char" w:customStyle="1">
    <w:name w:val="Heading 1 Char"/>
    <w:basedOn w:val="DefaultParagraphFont"/>
    <w:link w:val="Heading1"/>
    <w:uiPriority w:val="9"/>
    <w:rsid w:val="000000C9"/>
    <w:rPr>
      <w:rFonts w:cs="Arial" w:eastAsiaTheme="majorEastAsia"/>
      <w:b/>
      <w:bCs/>
      <w:color w:val="AE2473" w:themeColor="accent5"/>
      <w:sz w:val="40"/>
      <w:szCs w:val="40"/>
    </w:rPr>
  </w:style>
  <w:style w:type="character" w:styleId="Heading2Char" w:customStyle="1">
    <w:name w:val="Heading 2 Char"/>
    <w:basedOn w:val="DefaultParagraphFont"/>
    <w:link w:val="Heading2"/>
    <w:uiPriority w:val="9"/>
    <w:rsid w:val="000000C9"/>
    <w:rPr>
      <w:rFonts w:eastAsiaTheme="majorEastAsia" w:cstheme="majorBidi"/>
      <w:b/>
      <w:bCs/>
      <w:color w:val="003087" w:themeColor="accent3"/>
      <w:sz w:val="28"/>
      <w:szCs w:val="28"/>
    </w:rPr>
  </w:style>
  <w:style w:type="character" w:styleId="Heading3Char" w:customStyle="1">
    <w:name w:val="Heading 3 Char"/>
    <w:basedOn w:val="DefaultParagraphFont"/>
    <w:link w:val="Heading3"/>
    <w:uiPriority w:val="9"/>
    <w:rsid w:val="002E49BA"/>
    <w:rPr>
      <w:b/>
      <w:szCs w:val="22"/>
    </w:rPr>
  </w:style>
  <w:style w:type="paragraph" w:styleId="Introductionparagraphpink" w:customStyle="1">
    <w:name w:val="Introduction paragraph pink"/>
    <w:basedOn w:val="Normal"/>
    <w:rsid w:val="002D6889"/>
    <w:rPr>
      <w:color w:val="A00054"/>
    </w:rPr>
  </w:style>
  <w:style w:type="paragraph" w:styleId="Introductionparagraphblue" w:customStyle="1">
    <w:name w:val="Introduction paragraph blue"/>
    <w:basedOn w:val="Normal"/>
    <w:rsid w:val="007F2CB8"/>
    <w:pPr>
      <w:spacing w:after="400"/>
    </w:pPr>
    <w:rPr>
      <w:color w:val="003893"/>
      <w:sz w:val="32"/>
      <w:szCs w:val="32"/>
    </w:rPr>
  </w:style>
  <w:style w:type="paragraph" w:styleId="Reporttitleinheader" w:customStyle="1">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styleId="Quotestyle" w:customStyle="1">
    <w:name w:val="Quote style"/>
    <w:basedOn w:val="Normal"/>
    <w:rsid w:val="002E49BA"/>
    <w:pPr>
      <w:spacing w:after="100" w:afterAutospacing="1"/>
    </w:pPr>
    <w:rPr>
      <w:color w:val="A00054"/>
      <w:sz w:val="28"/>
      <w:szCs w:val="28"/>
    </w:rPr>
  </w:style>
  <w:style w:type="paragraph" w:styleId="Reportcovertitle" w:customStyle="1">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character" w:styleId="Hyperlink">
    <w:name w:val="Hyperlink"/>
    <w:basedOn w:val="DefaultParagraphFont"/>
    <w:uiPriority w:val="99"/>
    <w:unhideWhenUsed/>
    <w:rsid w:val="00BE049C"/>
    <w:rPr>
      <w:color w:val="0563C1" w:themeColor="hyperlink"/>
      <w:u w:val="single"/>
    </w:rPr>
  </w:style>
  <w:style w:type="character" w:styleId="UnresolvedMention">
    <w:name w:val="Unresolved Mention"/>
    <w:basedOn w:val="DefaultParagraphFont"/>
    <w:uiPriority w:val="99"/>
    <w:semiHidden/>
    <w:unhideWhenUsed/>
    <w:rsid w:val="00BE049C"/>
    <w:rPr>
      <w:color w:val="605E5C"/>
      <w:shd w:val="clear" w:color="auto" w:fill="E1DFDD"/>
    </w:rPr>
  </w:style>
  <w:style w:type="table" w:styleId="TableGrid">
    <w:name w:val="Table Grid"/>
    <w:basedOn w:val="TableNormal"/>
    <w:uiPriority w:val="59"/>
    <w:rsid w:val="002B1168"/>
    <w:rPr>
      <w:rFonts w:eastAsia="MS Mincho"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B1168"/>
    <w:pPr>
      <w:ind w:left="720"/>
      <w:contextualSpacing/>
    </w:pPr>
    <w:rPr>
      <w:rFonts w:eastAsia="Times New Roman" w:cs="Arial"/>
    </w:rPr>
  </w:style>
  <w:style w:type="paragraph" w:styleId="NoSpacing">
    <w:name w:val="No Spacing"/>
    <w:uiPriority w:val="1"/>
    <w:qFormat/>
    <w:rsid w:val="002B1168"/>
    <w:rPr>
      <w:rFonts w:asciiTheme="minorHAnsi" w:hAnsiTheme="minorHAnsi"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Sailesh.sankar@hee.nhs.uk"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image" Target="media/image1.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eader" Target="header1.xml" Id="rId14" /></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2389ad0-4628-4ca4-babd-a5e1ca1fc43d" xsi:nil="true"/>
    <lcf76f155ced4ddcb4097134ff3c332f xmlns="03b25e55-1fda-4dd5-9a75-c38d0989a0e2">
      <Terms xmlns="http://schemas.microsoft.com/office/infopath/2007/PartnerControls"/>
    </lcf76f155ced4ddcb4097134ff3c332f>
    <SharedWithUsers xmlns="d2389ad0-4628-4ca4-babd-a5e1ca1fc43d">
      <UserInfo>
        <DisplayName/>
        <AccountId xsi:nil="true"/>
        <AccountType/>
      </UserInfo>
    </SharedWithUsers>
    <MediaLengthInSeconds xmlns="03b25e55-1fda-4dd5-9a75-c38d0989a0e2" xsi:nil="true"/>
    <NumberOrder xmlns="03b25e55-1fda-4dd5-9a75-c38d0989a0e2">6</NumberOrder>
    <Number xmlns="03b25e55-1fda-4dd5-9a75-c38d0989a0e2" xsi:nil="true"/>
  </documentManagement>
</p:properties>
</file>

<file path=customXml/itemProps1.xml><?xml version="1.0" encoding="utf-8"?>
<ds:datastoreItem xmlns:ds="http://schemas.openxmlformats.org/officeDocument/2006/customXml" ds:itemID="{95A1FA64-934C-4528-A644-DA99068924E4}"/>
</file>

<file path=customXml/itemProps2.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3.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4.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Health Education England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David Turner</cp:lastModifiedBy>
  <cp:revision>8</cp:revision>
  <cp:lastPrinted>2021-01-11T11:40:00Z</cp:lastPrinted>
  <dcterms:created xsi:type="dcterms:W3CDTF">2022-12-13T15:38:00Z</dcterms:created>
  <dcterms:modified xsi:type="dcterms:W3CDTF">2023-03-03T14:19:36Z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y fmtid="{D5CDD505-2E9C-101B-9397-08002B2CF9AE}" pid="3" name="MediaServiceImageTags">
    <vt:lpwstr/>
  </property>
  <property fmtid="{D5CDD505-2E9C-101B-9397-08002B2CF9AE}" pid="4" name="Order">
    <vt:r8>472600</vt:r8>
  </property>
  <property fmtid="{D5CDD505-2E9C-101B-9397-08002B2CF9AE}" pid="5" name="xd_Signature">
    <vt:bool>false</vt:bool>
  </property>
  <property fmtid="{D5CDD505-2E9C-101B-9397-08002B2CF9AE}" pid="6" name="xd_ProgID">
    <vt:lpwstr/>
  </property>
  <property fmtid="{D5CDD505-2E9C-101B-9397-08002B2CF9AE}" pid="7" name="Workstream">
    <vt:lpwstr>NETS</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DocType">
    <vt:lpwstr>Action Plan</vt:lpwstr>
  </property>
  <property fmtid="{D5CDD505-2E9C-101B-9397-08002B2CF9AE}" pid="13" name="_ExtendedDescription">
    <vt:lpwstr/>
  </property>
  <property fmtid="{D5CDD505-2E9C-101B-9397-08002B2CF9AE}" pid="14" name="TriggerFlowInfo">
    <vt:lpwstr/>
  </property>
</Properties>
</file>