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FEE22" w14:textId="4D564812" w:rsidR="00AC5AD5" w:rsidRDefault="00AC5AD5" w:rsidP="00915677">
      <w:pPr>
        <w:tabs>
          <w:tab w:val="left" w:pos="10700"/>
        </w:tabs>
        <w:rPr>
          <w:b/>
          <w:bCs/>
          <w:sz w:val="32"/>
          <w:szCs w:val="32"/>
        </w:rPr>
      </w:pPr>
    </w:p>
    <w:p w14:paraId="5BD61E04" w14:textId="77777777" w:rsidR="00AC5AD5" w:rsidRDefault="00AC5AD5" w:rsidP="00915677">
      <w:pPr>
        <w:tabs>
          <w:tab w:val="left" w:pos="10700"/>
        </w:tabs>
        <w:rPr>
          <w:b/>
          <w:bCs/>
          <w:sz w:val="32"/>
          <w:szCs w:val="28"/>
        </w:rPr>
      </w:pPr>
    </w:p>
    <w:p w14:paraId="494FA0D9" w14:textId="53A6CED2" w:rsidR="005B0D74" w:rsidRPr="0058128A" w:rsidRDefault="001925F1" w:rsidP="00915677">
      <w:pPr>
        <w:tabs>
          <w:tab w:val="left" w:pos="10700"/>
        </w:tabs>
        <w:rPr>
          <w:b/>
          <w:bCs/>
          <w:sz w:val="32"/>
          <w:szCs w:val="32"/>
        </w:rPr>
      </w:pPr>
      <w:r>
        <w:rPr>
          <w:b/>
          <w:bCs/>
          <w:color w:val="AE2573"/>
          <w:sz w:val="32"/>
          <w:szCs w:val="32"/>
        </w:rPr>
        <w:t xml:space="preserve">Foundation Training Year: </w:t>
      </w:r>
      <w:r w:rsidR="005B0D74" w:rsidRPr="0058128A">
        <w:rPr>
          <w:b/>
          <w:bCs/>
          <w:color w:val="AE2573"/>
          <w:sz w:val="32"/>
          <w:szCs w:val="32"/>
        </w:rPr>
        <w:t>CBD</w:t>
      </w:r>
      <w:r w:rsidR="0044150C">
        <w:rPr>
          <w:b/>
          <w:bCs/>
          <w:color w:val="AE2573"/>
          <w:sz w:val="32"/>
          <w:szCs w:val="32"/>
        </w:rPr>
        <w:t xml:space="preserve"> (c</w:t>
      </w:r>
      <w:r w:rsidR="0044150C" w:rsidRPr="0058128A">
        <w:rPr>
          <w:b/>
          <w:bCs/>
          <w:color w:val="AE2573"/>
          <w:sz w:val="32"/>
          <w:szCs w:val="32"/>
        </w:rPr>
        <w:t>ase-based discussion</w:t>
      </w:r>
      <w:r w:rsidR="005B0D74" w:rsidRPr="0058128A">
        <w:rPr>
          <w:b/>
          <w:bCs/>
          <w:color w:val="AE2573"/>
          <w:sz w:val="32"/>
          <w:szCs w:val="32"/>
        </w:rPr>
        <w:t>)</w:t>
      </w:r>
      <w:r w:rsidR="00915677" w:rsidRPr="0058128A">
        <w:rPr>
          <w:b/>
          <w:bCs/>
          <w:sz w:val="32"/>
          <w:szCs w:val="32"/>
        </w:rPr>
        <w:tab/>
      </w:r>
    </w:p>
    <w:p w14:paraId="702333AE" w14:textId="77777777" w:rsidR="00782265" w:rsidRPr="009602F3" w:rsidRDefault="00782265" w:rsidP="00782265">
      <w:pPr>
        <w:rPr>
          <w:b/>
          <w:bCs/>
          <w:color w:val="0000FF"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90"/>
        <w:gridCol w:w="8220"/>
        <w:gridCol w:w="2268"/>
        <w:gridCol w:w="2210"/>
      </w:tblGrid>
      <w:tr w:rsidR="00953472" w14:paraId="2FCA3080" w14:textId="77777777" w:rsidTr="2CC263AD">
        <w:trPr>
          <w:trHeight w:val="403"/>
        </w:trPr>
        <w:tc>
          <w:tcPr>
            <w:tcW w:w="874" w:type="pct"/>
            <w:vAlign w:val="center"/>
          </w:tcPr>
          <w:p w14:paraId="5D05F3C6" w14:textId="65F6564D" w:rsidR="00953472" w:rsidRPr="00D87ECD" w:rsidRDefault="00953472" w:rsidP="00280A0C">
            <w:pPr>
              <w:rPr>
                <w:b/>
                <w:bCs/>
              </w:rPr>
            </w:pPr>
            <w:r w:rsidRPr="00D87ECD">
              <w:rPr>
                <w:b/>
                <w:bCs/>
              </w:rPr>
              <w:t xml:space="preserve">Title of </w:t>
            </w:r>
            <w:r w:rsidR="00EC7C6B" w:rsidRPr="00D87ECD">
              <w:rPr>
                <w:b/>
                <w:bCs/>
              </w:rPr>
              <w:t>CBD</w:t>
            </w:r>
          </w:p>
        </w:tc>
        <w:tc>
          <w:tcPr>
            <w:tcW w:w="2671" w:type="pct"/>
            <w:vAlign w:val="center"/>
          </w:tcPr>
          <w:p w14:paraId="4865E93E" w14:textId="77777777" w:rsidR="00953472" w:rsidRPr="00D87ECD" w:rsidRDefault="00953472" w:rsidP="00280A0C">
            <w:pPr>
              <w:rPr>
                <w:b/>
                <w:bCs/>
              </w:rPr>
            </w:pPr>
          </w:p>
        </w:tc>
        <w:tc>
          <w:tcPr>
            <w:tcW w:w="737" w:type="pct"/>
            <w:vAlign w:val="center"/>
          </w:tcPr>
          <w:p w14:paraId="08B1C219" w14:textId="305F81D0" w:rsidR="00953472" w:rsidRPr="00D87ECD" w:rsidRDefault="00953472" w:rsidP="00280A0C">
            <w:pPr>
              <w:rPr>
                <w:b/>
                <w:bCs/>
              </w:rPr>
            </w:pPr>
            <w:r w:rsidRPr="00D87ECD">
              <w:rPr>
                <w:b/>
                <w:bCs/>
              </w:rPr>
              <w:t xml:space="preserve">Date of </w:t>
            </w:r>
            <w:r w:rsidR="005A4AB1" w:rsidRPr="00D87ECD">
              <w:rPr>
                <w:b/>
                <w:bCs/>
              </w:rPr>
              <w:t>CBD</w:t>
            </w:r>
          </w:p>
        </w:tc>
        <w:tc>
          <w:tcPr>
            <w:tcW w:w="718" w:type="pct"/>
          </w:tcPr>
          <w:p w14:paraId="266FF301" w14:textId="77777777" w:rsidR="00953472" w:rsidRPr="00D87ECD" w:rsidRDefault="00953472" w:rsidP="00280A0C"/>
        </w:tc>
      </w:tr>
      <w:tr w:rsidR="00D87ECD" w:rsidRPr="004A5028" w14:paraId="66443CB5" w14:textId="77777777" w:rsidTr="2CC263AD">
        <w:trPr>
          <w:trHeight w:val="408"/>
        </w:trPr>
        <w:tc>
          <w:tcPr>
            <w:tcW w:w="874" w:type="pct"/>
            <w:vAlign w:val="center"/>
          </w:tcPr>
          <w:p w14:paraId="2E2B0B07" w14:textId="47EA0D31" w:rsidR="00D87ECD" w:rsidRPr="00D87ECD" w:rsidRDefault="00D87ECD" w:rsidP="00D87ECD">
            <w:pPr>
              <w:rPr>
                <w:b/>
                <w:bCs/>
              </w:rPr>
            </w:pPr>
            <w:r w:rsidRPr="00D87ECD">
              <w:rPr>
                <w:b/>
                <w:bCs/>
              </w:rPr>
              <w:t>Trainee pharmacist</w:t>
            </w:r>
          </w:p>
        </w:tc>
        <w:tc>
          <w:tcPr>
            <w:tcW w:w="2671" w:type="pct"/>
            <w:vAlign w:val="center"/>
          </w:tcPr>
          <w:p w14:paraId="4452CA1C" w14:textId="0C75CD11" w:rsidR="00D87ECD" w:rsidRPr="00EC7C6B" w:rsidRDefault="00D87ECD" w:rsidP="00D87ECD"/>
        </w:tc>
        <w:tc>
          <w:tcPr>
            <w:tcW w:w="737" w:type="pct"/>
            <w:vAlign w:val="center"/>
          </w:tcPr>
          <w:p w14:paraId="7FCD9086" w14:textId="77777777" w:rsidR="00D87ECD" w:rsidRPr="00AA248E" w:rsidRDefault="4E1CB19C" w:rsidP="00D87ECD">
            <w:pPr>
              <w:rPr>
                <w:b/>
                <w:bCs/>
              </w:rPr>
            </w:pPr>
            <w:r w:rsidRPr="2CC263AD">
              <w:rPr>
                <w:b/>
                <w:bCs/>
              </w:rPr>
              <w:t>Stage of training</w:t>
            </w:r>
          </w:p>
          <w:p w14:paraId="37206159" w14:textId="58BB8AEE" w:rsidR="00D87ECD" w:rsidRPr="00EC7C6B" w:rsidRDefault="4E1CB19C" w:rsidP="00D87ECD">
            <w:r w:rsidRPr="2CC263AD">
              <w:rPr>
                <w:b/>
                <w:bCs/>
                <w:sz w:val="20"/>
                <w:szCs w:val="20"/>
              </w:rPr>
              <w:t>(</w:t>
            </w:r>
            <w:proofErr w:type="gramStart"/>
            <w:r w:rsidRPr="2CC263AD">
              <w:rPr>
                <w:b/>
                <w:bCs/>
                <w:sz w:val="20"/>
                <w:szCs w:val="20"/>
              </w:rPr>
              <w:t>in</w:t>
            </w:r>
            <w:proofErr w:type="gramEnd"/>
            <w:r w:rsidRPr="2CC263AD">
              <w:rPr>
                <w:b/>
                <w:bCs/>
                <w:sz w:val="20"/>
                <w:szCs w:val="20"/>
              </w:rPr>
              <w:t xml:space="preserve"> weeks)</w:t>
            </w:r>
          </w:p>
        </w:tc>
        <w:tc>
          <w:tcPr>
            <w:tcW w:w="718" w:type="pct"/>
          </w:tcPr>
          <w:p w14:paraId="7043709D" w14:textId="65C91973" w:rsidR="00D87ECD" w:rsidRPr="00AC5AD5" w:rsidRDefault="00D87ECD" w:rsidP="00D87ECD"/>
        </w:tc>
      </w:tr>
    </w:tbl>
    <w:p w14:paraId="62D9C764" w14:textId="77777777" w:rsidR="005B0D74" w:rsidRDefault="005B0D74" w:rsidP="005B0D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1311"/>
        <w:gridCol w:w="1307"/>
        <w:gridCol w:w="1195"/>
        <w:gridCol w:w="1096"/>
        <w:gridCol w:w="236"/>
        <w:gridCol w:w="7696"/>
      </w:tblGrid>
      <w:tr w:rsidR="00E03E69" w:rsidRPr="000B654E" w14:paraId="3A48B40A" w14:textId="77777777" w:rsidTr="2CC263AD">
        <w:trPr>
          <w:trHeight w:val="368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7C326C9" w14:textId="77777777" w:rsidR="00842796" w:rsidRPr="00783AE8" w:rsidRDefault="00842796" w:rsidP="00280A0C">
            <w:pPr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B3D697" w14:textId="77777777" w:rsidR="00842796" w:rsidRPr="00783AE8" w:rsidRDefault="00842796" w:rsidP="00280A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23C5C70" w14:textId="77777777" w:rsidR="00842796" w:rsidRPr="00783AE8" w:rsidRDefault="00842796" w:rsidP="00280A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0B2F8A6" w14:textId="77777777" w:rsidR="00842796" w:rsidRPr="00783AE8" w:rsidRDefault="00842796" w:rsidP="00280A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F9C879" w14:textId="77777777" w:rsidR="00842796" w:rsidRPr="00783AE8" w:rsidRDefault="00842796" w:rsidP="00280A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58CD7CD" w14:textId="77777777" w:rsidR="00842796" w:rsidRPr="00783AE8" w:rsidRDefault="00842796" w:rsidP="00280A0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96" w:type="dxa"/>
          </w:tcPr>
          <w:p w14:paraId="573F811A" w14:textId="6FD80ECD" w:rsidR="00842796" w:rsidRPr="00CA575D" w:rsidRDefault="002A653E" w:rsidP="00280A0C">
            <w:pPr>
              <w:jc w:val="center"/>
              <w:rPr>
                <w:bCs/>
                <w:color w:val="808080" w:themeColor="background1" w:themeShade="80"/>
                <w:sz w:val="22"/>
                <w:szCs w:val="22"/>
              </w:rPr>
            </w:pPr>
            <w:r w:rsidRPr="00C80FF2">
              <w:rPr>
                <w:rFonts w:cs="Arial"/>
                <w:b/>
                <w:color w:val="005EB8"/>
              </w:rPr>
              <w:t>Criterion prompts</w:t>
            </w:r>
          </w:p>
        </w:tc>
      </w:tr>
      <w:tr w:rsidR="00E03E69" w:rsidRPr="000B654E" w14:paraId="1B4FB60C" w14:textId="77777777" w:rsidTr="2CC263AD">
        <w:trPr>
          <w:trHeight w:val="537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2FA533" w14:textId="77777777" w:rsidR="0057350D" w:rsidRPr="00783AE8" w:rsidRDefault="0057350D" w:rsidP="0057350D">
            <w:pPr>
              <w:rPr>
                <w:b/>
              </w:rPr>
            </w:pPr>
            <w:r w:rsidRPr="00783AE8">
              <w:rPr>
                <w:b/>
              </w:rPr>
              <w:t>Please grade the following areas: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48E14688" w14:textId="77777777" w:rsidR="0057350D" w:rsidRPr="00783AE8" w:rsidRDefault="0057350D" w:rsidP="0057350D">
            <w:pPr>
              <w:jc w:val="center"/>
              <w:rPr>
                <w:b/>
                <w:sz w:val="16"/>
                <w:szCs w:val="16"/>
              </w:rPr>
            </w:pPr>
            <w:r w:rsidRPr="00783AE8">
              <w:rPr>
                <w:b/>
                <w:sz w:val="16"/>
                <w:szCs w:val="16"/>
              </w:rPr>
              <w:t>Below expectations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5BA14F" w14:textId="77777777" w:rsidR="0057350D" w:rsidRPr="00783AE8" w:rsidRDefault="0057350D" w:rsidP="0057350D">
            <w:pPr>
              <w:jc w:val="center"/>
              <w:rPr>
                <w:b/>
                <w:sz w:val="16"/>
                <w:szCs w:val="16"/>
              </w:rPr>
            </w:pPr>
            <w:r w:rsidRPr="00783AE8">
              <w:rPr>
                <w:b/>
                <w:sz w:val="16"/>
                <w:szCs w:val="16"/>
              </w:rPr>
              <w:t>Meets expectations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2747F545" w14:textId="181C6F14" w:rsidR="0057350D" w:rsidRPr="00783AE8" w:rsidRDefault="00D41AB0" w:rsidP="005735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Exceeds</w:t>
            </w:r>
          </w:p>
          <w:p w14:paraId="0E9919EF" w14:textId="77777777" w:rsidR="0057350D" w:rsidRPr="00783AE8" w:rsidRDefault="0057350D" w:rsidP="0057350D">
            <w:pPr>
              <w:jc w:val="center"/>
              <w:rPr>
                <w:b/>
                <w:sz w:val="16"/>
                <w:szCs w:val="16"/>
              </w:rPr>
            </w:pPr>
            <w:r w:rsidRPr="00783AE8">
              <w:rPr>
                <w:b/>
                <w:sz w:val="16"/>
                <w:szCs w:val="16"/>
              </w:rPr>
              <w:t>expectations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08A704" w14:textId="77777777" w:rsidR="0057350D" w:rsidRPr="00783AE8" w:rsidRDefault="005C70F3" w:rsidP="005C70F3">
            <w:pPr>
              <w:jc w:val="center"/>
              <w:rPr>
                <w:b/>
                <w:sz w:val="16"/>
                <w:szCs w:val="16"/>
              </w:rPr>
            </w:pPr>
            <w:r w:rsidRPr="00783AE8">
              <w:rPr>
                <w:b/>
                <w:sz w:val="16"/>
                <w:szCs w:val="16"/>
              </w:rPr>
              <w:t>Not Applicable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30FC343F" w14:textId="77777777" w:rsidR="0057350D" w:rsidRPr="00783AE8" w:rsidRDefault="0057350D" w:rsidP="0057350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96" w:type="dxa"/>
          </w:tcPr>
          <w:p w14:paraId="35B1E6BA" w14:textId="2DBF2CA8" w:rsidR="00541471" w:rsidRPr="002A653E" w:rsidRDefault="00541471" w:rsidP="00150F15">
            <w:pPr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2A653E">
              <w:rPr>
                <w:rFonts w:cs="Arial"/>
                <w:sz w:val="22"/>
                <w:szCs w:val="22"/>
                <w:shd w:val="clear" w:color="auto" w:fill="FFFFFF"/>
              </w:rPr>
              <w:t>Meeting an expectation is based on professional experience and judgement and so will be subjective to each supervisor.</w:t>
            </w:r>
            <w:r w:rsidR="00783AE8" w:rsidRPr="002A653E">
              <w:rPr>
                <w:rFonts w:cs="Arial"/>
                <w:sz w:val="22"/>
                <w:szCs w:val="22"/>
                <w:shd w:val="clear" w:color="auto" w:fill="FFFFFF"/>
              </w:rPr>
              <w:t xml:space="preserve"> </w:t>
            </w:r>
            <w:r w:rsidRPr="002A653E">
              <w:rPr>
                <w:rFonts w:cs="Arial"/>
                <w:sz w:val="22"/>
                <w:szCs w:val="22"/>
                <w:shd w:val="clear" w:color="auto" w:fill="FFFFFF"/>
              </w:rPr>
              <w:t>The supervisor should explain their rationale for their decisions to the trainee pharmacist.</w:t>
            </w:r>
          </w:p>
          <w:p w14:paraId="04ED367B" w14:textId="77777777" w:rsidR="0057350D" w:rsidRPr="002A653E" w:rsidRDefault="00541471" w:rsidP="00150F15">
            <w:pPr>
              <w:rPr>
                <w:b/>
                <w:sz w:val="22"/>
                <w:szCs w:val="22"/>
              </w:rPr>
            </w:pPr>
            <w:r w:rsidRPr="002A653E">
              <w:rPr>
                <w:rFonts w:cs="Arial"/>
                <w:bCs/>
                <w:sz w:val="22"/>
                <w:szCs w:val="22"/>
                <w:shd w:val="clear" w:color="auto" w:fill="FFFFFF"/>
              </w:rPr>
              <w:t>Not applicable should be used if there was no opportunity for the trainee to demonstrate the criteria in the presenting scenario.</w:t>
            </w:r>
          </w:p>
        </w:tc>
      </w:tr>
      <w:tr w:rsidR="00E03E69" w14:paraId="3FDF7165" w14:textId="77777777" w:rsidTr="2CC263AD">
        <w:trPr>
          <w:trHeight w:val="454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5C07A806" w14:textId="301D0867" w:rsidR="0057350D" w:rsidRPr="00783AE8" w:rsidRDefault="0057350D" w:rsidP="0057350D">
            <w:r w:rsidRPr="00783AE8">
              <w:t>1</w:t>
            </w:r>
            <w:r w:rsidR="002A653E">
              <w:t>.</w:t>
            </w:r>
            <w:r w:rsidRPr="00783AE8">
              <w:t xml:space="preserve"> Pharmaceutical </w:t>
            </w:r>
            <w:r w:rsidR="000E6F69">
              <w:t>c</w:t>
            </w:r>
            <w:r w:rsidR="000E6F69" w:rsidRPr="00783AE8">
              <w:t>are</w:t>
            </w:r>
          </w:p>
        </w:tc>
        <w:tc>
          <w:tcPr>
            <w:tcW w:w="0" w:type="auto"/>
          </w:tcPr>
          <w:p w14:paraId="2CC5DAD4" w14:textId="77777777" w:rsidR="0057350D" w:rsidRPr="00783AE8" w:rsidRDefault="0057350D" w:rsidP="0057350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3D68B907" w14:textId="77777777" w:rsidR="0057350D" w:rsidRPr="00783AE8" w:rsidRDefault="0057350D" w:rsidP="0057350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58F1C5A" w14:textId="77777777" w:rsidR="0057350D" w:rsidRPr="00783AE8" w:rsidRDefault="0057350D" w:rsidP="0057350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0E3FAE98" w14:textId="77777777" w:rsidR="0057350D" w:rsidRPr="00783AE8" w:rsidRDefault="0057350D" w:rsidP="0057350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3C19C779" w14:textId="77777777" w:rsidR="0057350D" w:rsidRPr="00783AE8" w:rsidRDefault="0057350D" w:rsidP="0057350D">
            <w:pPr>
              <w:rPr>
                <w:sz w:val="16"/>
                <w:szCs w:val="16"/>
              </w:rPr>
            </w:pPr>
          </w:p>
        </w:tc>
        <w:tc>
          <w:tcPr>
            <w:tcW w:w="7696" w:type="dxa"/>
            <w:vAlign w:val="center"/>
          </w:tcPr>
          <w:p w14:paraId="44064705" w14:textId="749A12EB" w:rsidR="0057350D" w:rsidRPr="002A653E" w:rsidRDefault="00783AE8" w:rsidP="0057350D">
            <w:pPr>
              <w:rPr>
                <w:sz w:val="22"/>
                <w:szCs w:val="22"/>
              </w:rPr>
            </w:pPr>
            <w:r w:rsidRPr="002A653E">
              <w:rPr>
                <w:sz w:val="22"/>
                <w:szCs w:val="22"/>
              </w:rPr>
              <w:t>C</w:t>
            </w:r>
            <w:r w:rsidR="00461AFC" w:rsidRPr="002A653E">
              <w:rPr>
                <w:sz w:val="22"/>
                <w:szCs w:val="22"/>
              </w:rPr>
              <w:t>an</w:t>
            </w:r>
            <w:r w:rsidR="0057350D" w:rsidRPr="002A653E">
              <w:rPr>
                <w:sz w:val="22"/>
                <w:szCs w:val="22"/>
              </w:rPr>
              <w:t xml:space="preserve"> </w:t>
            </w:r>
            <w:r w:rsidR="00444594" w:rsidRPr="002A653E">
              <w:rPr>
                <w:sz w:val="22"/>
                <w:szCs w:val="22"/>
              </w:rPr>
              <w:t>correctly identif</w:t>
            </w:r>
            <w:r w:rsidR="00461AFC" w:rsidRPr="002A653E">
              <w:rPr>
                <w:sz w:val="22"/>
                <w:szCs w:val="22"/>
              </w:rPr>
              <w:t>y</w:t>
            </w:r>
            <w:r w:rsidR="0057350D" w:rsidRPr="002A653E">
              <w:rPr>
                <w:sz w:val="22"/>
                <w:szCs w:val="22"/>
              </w:rPr>
              <w:t xml:space="preserve"> the </w:t>
            </w:r>
            <w:r w:rsidR="007B0226" w:rsidRPr="002A653E">
              <w:rPr>
                <w:sz w:val="22"/>
                <w:szCs w:val="22"/>
              </w:rPr>
              <w:t xml:space="preserve">patients </w:t>
            </w:r>
            <w:r w:rsidR="0057350D" w:rsidRPr="002A653E">
              <w:rPr>
                <w:sz w:val="22"/>
                <w:szCs w:val="22"/>
              </w:rPr>
              <w:t xml:space="preserve">pharmaceutical care </w:t>
            </w:r>
            <w:r w:rsidR="00354B5D" w:rsidRPr="002A653E">
              <w:rPr>
                <w:sz w:val="22"/>
                <w:szCs w:val="22"/>
              </w:rPr>
              <w:t>issues</w:t>
            </w:r>
            <w:r w:rsidR="00461AFC" w:rsidRPr="002A653E">
              <w:rPr>
                <w:sz w:val="22"/>
                <w:szCs w:val="22"/>
              </w:rPr>
              <w:t xml:space="preserve"> and</w:t>
            </w:r>
            <w:r w:rsidR="0057350D" w:rsidRPr="002A653E">
              <w:rPr>
                <w:sz w:val="22"/>
                <w:szCs w:val="22"/>
              </w:rPr>
              <w:t xml:space="preserve"> prioritise</w:t>
            </w:r>
            <w:r w:rsidR="00461AFC" w:rsidRPr="002A653E">
              <w:rPr>
                <w:sz w:val="22"/>
                <w:szCs w:val="22"/>
              </w:rPr>
              <w:t xml:space="preserve"> them</w:t>
            </w:r>
            <w:r w:rsidR="0057350D" w:rsidRPr="002A653E">
              <w:rPr>
                <w:sz w:val="22"/>
                <w:szCs w:val="22"/>
              </w:rPr>
              <w:t xml:space="preserve"> appropriately</w:t>
            </w:r>
            <w:r w:rsidR="006520F6" w:rsidRPr="002A653E">
              <w:rPr>
                <w:sz w:val="22"/>
                <w:szCs w:val="22"/>
              </w:rPr>
              <w:t xml:space="preserve"> and was timely, and succinct</w:t>
            </w:r>
            <w:r w:rsidR="0057350D" w:rsidRPr="002A653E">
              <w:rPr>
                <w:sz w:val="22"/>
                <w:szCs w:val="22"/>
              </w:rPr>
              <w:t xml:space="preserve">. </w:t>
            </w:r>
            <w:r w:rsidR="00802528" w:rsidRPr="002A653E">
              <w:rPr>
                <w:sz w:val="22"/>
                <w:szCs w:val="22"/>
              </w:rPr>
              <w:t xml:space="preserve">Considers interface issues and </w:t>
            </w:r>
            <w:r w:rsidR="00802528" w:rsidRPr="002A653E">
              <w:rPr>
                <w:rFonts w:cs="Arial"/>
                <w:sz w:val="22"/>
                <w:szCs w:val="22"/>
              </w:rPr>
              <w:t>holistic care in relation to self-care and health promotion</w:t>
            </w:r>
          </w:p>
        </w:tc>
      </w:tr>
      <w:tr w:rsidR="00E03E69" w14:paraId="62F5AE9E" w14:textId="77777777" w:rsidTr="2CC263AD">
        <w:trPr>
          <w:trHeight w:val="454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7A0DFCB7" w14:textId="5CB70421" w:rsidR="0057350D" w:rsidRPr="00783AE8" w:rsidRDefault="0057350D" w:rsidP="0057350D">
            <w:r w:rsidRPr="00783AE8">
              <w:t>2</w:t>
            </w:r>
            <w:r w:rsidR="002A653E">
              <w:t>.</w:t>
            </w:r>
            <w:r w:rsidRPr="00783AE8">
              <w:t xml:space="preserve"> Treatment </w:t>
            </w:r>
            <w:r w:rsidR="000E6F69">
              <w:t>r</w:t>
            </w:r>
            <w:r w:rsidR="000E6F69" w:rsidRPr="00783AE8">
              <w:t>ecommendations</w:t>
            </w:r>
          </w:p>
        </w:tc>
        <w:tc>
          <w:tcPr>
            <w:tcW w:w="0" w:type="auto"/>
          </w:tcPr>
          <w:p w14:paraId="05A4EE32" w14:textId="77777777" w:rsidR="0057350D" w:rsidRPr="00783AE8" w:rsidRDefault="0057350D" w:rsidP="0057350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2352B56E" w14:textId="77777777" w:rsidR="0057350D" w:rsidRPr="00783AE8" w:rsidRDefault="0057350D" w:rsidP="0057350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706F874" w14:textId="77777777" w:rsidR="0057350D" w:rsidRPr="00783AE8" w:rsidRDefault="0057350D" w:rsidP="0057350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21765C86" w14:textId="77777777" w:rsidR="0057350D" w:rsidRPr="00783AE8" w:rsidRDefault="0057350D" w:rsidP="0057350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54C8471D" w14:textId="77777777" w:rsidR="0057350D" w:rsidRPr="00783AE8" w:rsidRDefault="0057350D" w:rsidP="0057350D">
            <w:pPr>
              <w:rPr>
                <w:sz w:val="16"/>
                <w:szCs w:val="16"/>
              </w:rPr>
            </w:pPr>
          </w:p>
        </w:tc>
        <w:tc>
          <w:tcPr>
            <w:tcW w:w="7696" w:type="dxa"/>
            <w:vAlign w:val="center"/>
          </w:tcPr>
          <w:p w14:paraId="225CF37C" w14:textId="10DF5F83" w:rsidR="0057350D" w:rsidRPr="002A653E" w:rsidRDefault="00783AE8" w:rsidP="0057350D">
            <w:pPr>
              <w:rPr>
                <w:sz w:val="22"/>
                <w:szCs w:val="22"/>
              </w:rPr>
            </w:pPr>
            <w:r w:rsidRPr="002A653E">
              <w:rPr>
                <w:sz w:val="22"/>
                <w:szCs w:val="22"/>
              </w:rPr>
              <w:t>C</w:t>
            </w:r>
            <w:r w:rsidR="0057350D" w:rsidRPr="002A653E">
              <w:rPr>
                <w:sz w:val="22"/>
                <w:szCs w:val="22"/>
              </w:rPr>
              <w:t xml:space="preserve">an discuss the treatment of the main medical problem – evidence-based treatment guidelines, drug therapy (mechanism of action of drugs, dosage range, key pharmacokinetic data, cautions, contra-indications, common side effects, major drug interactions, patient counselling points) </w:t>
            </w:r>
          </w:p>
        </w:tc>
      </w:tr>
      <w:tr w:rsidR="00E03E69" w14:paraId="1864A46D" w14:textId="77777777" w:rsidTr="2CC263AD">
        <w:trPr>
          <w:trHeight w:val="454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0638C3AF" w14:textId="109A37E5" w:rsidR="0057350D" w:rsidRPr="00783AE8" w:rsidRDefault="0057350D" w:rsidP="0057350D">
            <w:r w:rsidRPr="00783AE8">
              <w:t>3</w:t>
            </w:r>
            <w:r w:rsidR="002A653E">
              <w:t>.</w:t>
            </w:r>
            <w:r w:rsidRPr="00783AE8">
              <w:t xml:space="preserve"> Follow-up</w:t>
            </w:r>
            <w:r w:rsidR="000E6F69">
              <w:t xml:space="preserve"> / monitoring</w:t>
            </w:r>
            <w:r w:rsidRPr="00783AE8">
              <w:t xml:space="preserve"> </w:t>
            </w:r>
          </w:p>
        </w:tc>
        <w:tc>
          <w:tcPr>
            <w:tcW w:w="0" w:type="auto"/>
          </w:tcPr>
          <w:p w14:paraId="4AB7D3B6" w14:textId="77777777" w:rsidR="0057350D" w:rsidRPr="00783AE8" w:rsidRDefault="0057350D" w:rsidP="0057350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0941BD5E" w14:textId="77777777" w:rsidR="0057350D" w:rsidRPr="00783AE8" w:rsidRDefault="0057350D" w:rsidP="0057350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3A0A873B" w14:textId="77777777" w:rsidR="0057350D" w:rsidRPr="00783AE8" w:rsidRDefault="0057350D" w:rsidP="0057350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40F2B23C" w14:textId="77777777" w:rsidR="0057350D" w:rsidRPr="00783AE8" w:rsidRDefault="0057350D" w:rsidP="0057350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39AC6C6F" w14:textId="77777777" w:rsidR="0057350D" w:rsidRPr="00783AE8" w:rsidRDefault="0057350D" w:rsidP="0057350D">
            <w:pPr>
              <w:rPr>
                <w:sz w:val="16"/>
                <w:szCs w:val="16"/>
              </w:rPr>
            </w:pPr>
          </w:p>
        </w:tc>
        <w:tc>
          <w:tcPr>
            <w:tcW w:w="7696" w:type="dxa"/>
            <w:vAlign w:val="center"/>
          </w:tcPr>
          <w:p w14:paraId="79C19DCB" w14:textId="520A3899" w:rsidR="0057350D" w:rsidRPr="002A653E" w:rsidRDefault="0057350D" w:rsidP="0057350D">
            <w:pPr>
              <w:pStyle w:val="Default"/>
              <w:rPr>
                <w:color w:val="auto"/>
                <w:sz w:val="22"/>
                <w:szCs w:val="22"/>
              </w:rPr>
            </w:pPr>
            <w:r w:rsidRPr="002A653E">
              <w:rPr>
                <w:color w:val="auto"/>
                <w:sz w:val="22"/>
                <w:szCs w:val="22"/>
              </w:rPr>
              <w:t xml:space="preserve">Can discuss the rationale for the monitoring of the patient’s pharmaceutical care. Can demonstrate practical on-going and appropriate monitoring of therapy (including observations, biochemistry, haematology) </w:t>
            </w:r>
          </w:p>
          <w:p w14:paraId="13CF7267" w14:textId="77777777" w:rsidR="0057350D" w:rsidRPr="002A653E" w:rsidRDefault="0057350D" w:rsidP="0057350D">
            <w:pPr>
              <w:rPr>
                <w:sz w:val="22"/>
                <w:szCs w:val="22"/>
              </w:rPr>
            </w:pPr>
            <w:r w:rsidRPr="002A653E">
              <w:rPr>
                <w:sz w:val="22"/>
                <w:szCs w:val="22"/>
              </w:rPr>
              <w:t xml:space="preserve">Can discuss and demonstrate how the care of this patient was managed in conjunction with the wider healthcare team </w:t>
            </w:r>
          </w:p>
        </w:tc>
      </w:tr>
      <w:tr w:rsidR="00E03E69" w14:paraId="34BA54D5" w14:textId="77777777" w:rsidTr="2CC263AD">
        <w:trPr>
          <w:trHeight w:val="454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68049641" w14:textId="13AFCD11" w:rsidR="0057350D" w:rsidRPr="00783AE8" w:rsidRDefault="0057350D" w:rsidP="0057350D">
            <w:r w:rsidRPr="00783AE8">
              <w:t>4</w:t>
            </w:r>
            <w:r w:rsidR="002A653E">
              <w:t>.</w:t>
            </w:r>
            <w:r w:rsidRPr="00783AE8">
              <w:t xml:space="preserve"> Professionalism</w:t>
            </w:r>
          </w:p>
        </w:tc>
        <w:tc>
          <w:tcPr>
            <w:tcW w:w="0" w:type="auto"/>
          </w:tcPr>
          <w:p w14:paraId="13051F59" w14:textId="77777777" w:rsidR="0057350D" w:rsidRPr="00783AE8" w:rsidRDefault="0057350D" w:rsidP="0057350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469043BE" w14:textId="77777777" w:rsidR="0057350D" w:rsidRPr="00783AE8" w:rsidRDefault="0057350D" w:rsidP="0057350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2783A285" w14:textId="77777777" w:rsidR="0057350D" w:rsidRPr="00783AE8" w:rsidRDefault="0057350D" w:rsidP="0057350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14:paraId="7FFEA1A1" w14:textId="77777777" w:rsidR="0057350D" w:rsidRPr="00783AE8" w:rsidRDefault="0057350D" w:rsidP="0057350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668B8B1B" w14:textId="77777777" w:rsidR="0057350D" w:rsidRPr="00783AE8" w:rsidRDefault="0057350D" w:rsidP="0057350D">
            <w:pPr>
              <w:rPr>
                <w:sz w:val="16"/>
                <w:szCs w:val="16"/>
              </w:rPr>
            </w:pPr>
          </w:p>
        </w:tc>
        <w:tc>
          <w:tcPr>
            <w:tcW w:w="7696" w:type="dxa"/>
            <w:vAlign w:val="center"/>
          </w:tcPr>
          <w:p w14:paraId="12648120" w14:textId="13A8D65E" w:rsidR="0057350D" w:rsidRPr="002A653E" w:rsidRDefault="0094412C" w:rsidP="0057350D">
            <w:pPr>
              <w:rPr>
                <w:sz w:val="22"/>
                <w:szCs w:val="22"/>
              </w:rPr>
            </w:pPr>
            <w:r w:rsidRPr="002A653E">
              <w:rPr>
                <w:rFonts w:cs="Arial"/>
                <w:sz w:val="22"/>
                <w:szCs w:val="22"/>
              </w:rPr>
              <w:t xml:space="preserve">Shows respect, compassion, empathy; establishes trust; respects confidentiality; behaves in an ethical manner; awareness of legal frameworks; awareness of limitations, </w:t>
            </w:r>
            <w:r w:rsidRPr="002A653E">
              <w:rPr>
                <w:sz w:val="22"/>
                <w:szCs w:val="22"/>
              </w:rPr>
              <w:t>time management.</w:t>
            </w:r>
          </w:p>
        </w:tc>
      </w:tr>
      <w:tr w:rsidR="00E03E69" w14:paraId="44CB8E63" w14:textId="77777777" w:rsidTr="2CC263AD">
        <w:trPr>
          <w:trHeight w:val="454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554FA9" w14:textId="09A7ECAF" w:rsidR="0057350D" w:rsidRPr="00783AE8" w:rsidRDefault="0057350D" w:rsidP="0057350D">
            <w:r w:rsidRPr="00783AE8">
              <w:t>5</w:t>
            </w:r>
            <w:r w:rsidR="002A653E">
              <w:t>.</w:t>
            </w:r>
            <w:r w:rsidRPr="00783AE8">
              <w:t xml:space="preserve"> Overall </w:t>
            </w:r>
            <w:r w:rsidR="000E6F69">
              <w:t>c</w:t>
            </w:r>
            <w:r w:rsidR="000E6F69" w:rsidRPr="00783AE8">
              <w:t xml:space="preserve">linical </w:t>
            </w:r>
            <w:r w:rsidR="000E6F69">
              <w:t>j</w:t>
            </w:r>
            <w:r w:rsidR="000E6F69" w:rsidRPr="00783AE8">
              <w:t>udgement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2DDEFE5" w14:textId="77777777" w:rsidR="0057350D" w:rsidRPr="00783AE8" w:rsidRDefault="0057350D" w:rsidP="0057350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748F470" w14:textId="77777777" w:rsidR="0057350D" w:rsidRPr="00783AE8" w:rsidRDefault="0057350D" w:rsidP="0057350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4D65B22" w14:textId="77777777" w:rsidR="0057350D" w:rsidRPr="00783AE8" w:rsidRDefault="0057350D" w:rsidP="0057350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E72F726" w14:textId="77777777" w:rsidR="0057350D" w:rsidRPr="00783AE8" w:rsidRDefault="0057350D" w:rsidP="0057350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2B8057CE" w14:textId="77777777" w:rsidR="0057350D" w:rsidRPr="00783AE8" w:rsidRDefault="0057350D" w:rsidP="0057350D">
            <w:pPr>
              <w:rPr>
                <w:sz w:val="16"/>
                <w:szCs w:val="16"/>
              </w:rPr>
            </w:pPr>
          </w:p>
        </w:tc>
        <w:tc>
          <w:tcPr>
            <w:tcW w:w="7696" w:type="dxa"/>
            <w:shd w:val="clear" w:color="auto" w:fill="D9D9D9" w:themeFill="background1" w:themeFillShade="D9"/>
            <w:vAlign w:val="center"/>
          </w:tcPr>
          <w:p w14:paraId="75B53BFF" w14:textId="589C3B0D" w:rsidR="0057350D" w:rsidRPr="002A653E" w:rsidRDefault="0057350D" w:rsidP="0057350D">
            <w:pPr>
              <w:rPr>
                <w:sz w:val="22"/>
                <w:szCs w:val="22"/>
              </w:rPr>
            </w:pPr>
            <w:r w:rsidRPr="2CC263AD">
              <w:rPr>
                <w:sz w:val="22"/>
                <w:szCs w:val="22"/>
              </w:rPr>
              <w:t>Can discuss own judg</w:t>
            </w:r>
            <w:r w:rsidR="002A653E" w:rsidRPr="2CC263AD">
              <w:rPr>
                <w:sz w:val="22"/>
                <w:szCs w:val="22"/>
              </w:rPr>
              <w:t>e</w:t>
            </w:r>
            <w:r w:rsidRPr="2CC263AD">
              <w:rPr>
                <w:sz w:val="22"/>
                <w:szCs w:val="22"/>
              </w:rPr>
              <w:t>ment, synthesis</w:t>
            </w:r>
            <w:r w:rsidR="002A653E" w:rsidRPr="2CC263AD">
              <w:rPr>
                <w:sz w:val="22"/>
                <w:szCs w:val="22"/>
              </w:rPr>
              <w:t>e information</w:t>
            </w:r>
            <w:r w:rsidRPr="2CC263AD">
              <w:rPr>
                <w:sz w:val="22"/>
                <w:szCs w:val="22"/>
              </w:rPr>
              <w:t xml:space="preserve">, </w:t>
            </w:r>
            <w:r w:rsidR="002A653E" w:rsidRPr="2CC263AD">
              <w:rPr>
                <w:sz w:val="22"/>
                <w:szCs w:val="22"/>
              </w:rPr>
              <w:t>demonstrate care</w:t>
            </w:r>
            <w:r w:rsidR="000E6F69" w:rsidRPr="2CC263AD">
              <w:rPr>
                <w:sz w:val="22"/>
                <w:szCs w:val="22"/>
              </w:rPr>
              <w:t xml:space="preserve"> and effective action</w:t>
            </w:r>
            <w:r w:rsidRPr="2CC263AD">
              <w:rPr>
                <w:sz w:val="22"/>
                <w:szCs w:val="22"/>
              </w:rPr>
              <w:t xml:space="preserve"> for this patient</w:t>
            </w:r>
            <w:r w:rsidR="00CD2E85" w:rsidRPr="2CC263AD">
              <w:rPr>
                <w:sz w:val="22"/>
                <w:szCs w:val="22"/>
              </w:rPr>
              <w:t xml:space="preserve">, and describe </w:t>
            </w:r>
            <w:r w:rsidR="00CD2E85" w:rsidRPr="2CC263AD">
              <w:rPr>
                <w:rFonts w:cs="Arial"/>
                <w:sz w:val="22"/>
                <w:szCs w:val="22"/>
              </w:rPr>
              <w:t>the impact they have made to the patient.</w:t>
            </w:r>
          </w:p>
        </w:tc>
      </w:tr>
    </w:tbl>
    <w:p w14:paraId="50224368" w14:textId="77777777" w:rsidR="005B0D74" w:rsidRDefault="005B0D74" w:rsidP="005B0D74"/>
    <w:tbl>
      <w:tblPr>
        <w:tblStyle w:val="TableGrid"/>
        <w:tblW w:w="15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508"/>
        <w:gridCol w:w="7938"/>
      </w:tblGrid>
      <w:tr w:rsidR="004A5028" w:rsidRPr="004A5028" w14:paraId="602B351D" w14:textId="77777777" w:rsidTr="00BC0D84">
        <w:trPr>
          <w:trHeight w:val="1703"/>
        </w:trPr>
        <w:tc>
          <w:tcPr>
            <w:tcW w:w="15446" w:type="dxa"/>
            <w:gridSpan w:val="2"/>
          </w:tcPr>
          <w:p w14:paraId="4D80C5A5" w14:textId="77777777" w:rsidR="005B0D74" w:rsidRPr="004A5028" w:rsidRDefault="005B0D74" w:rsidP="00280A0C">
            <w:r w:rsidRPr="004A5028">
              <w:lastRenderedPageBreak/>
              <w:t>Summary of case: (to include</w:t>
            </w:r>
            <w:r w:rsidR="00486E11" w:rsidRPr="004A5028">
              <w:t xml:space="preserve">, date of </w:t>
            </w:r>
            <w:r w:rsidR="00FF63E7" w:rsidRPr="004A5028">
              <w:t>patient intervention,</w:t>
            </w:r>
            <w:r w:rsidRPr="004A5028">
              <w:t xml:space="preserve"> clinical setting, patient type, focus of encounter and complexity of case)</w:t>
            </w:r>
          </w:p>
        </w:tc>
      </w:tr>
      <w:tr w:rsidR="004A5028" w:rsidRPr="004A5028" w14:paraId="5B155B69" w14:textId="77777777" w:rsidTr="00BC0D84">
        <w:trPr>
          <w:trHeight w:val="1698"/>
        </w:trPr>
        <w:tc>
          <w:tcPr>
            <w:tcW w:w="7508" w:type="dxa"/>
          </w:tcPr>
          <w:p w14:paraId="74A18222" w14:textId="08D458D2" w:rsidR="00F542B5" w:rsidRPr="004A5028" w:rsidRDefault="00F542B5" w:rsidP="00F542B5">
            <w:r w:rsidRPr="004A5028">
              <w:t>What went well?</w:t>
            </w:r>
          </w:p>
          <w:p w14:paraId="730A4211" w14:textId="77777777" w:rsidR="005B0D74" w:rsidRPr="004A5028" w:rsidRDefault="005B0D74" w:rsidP="00280A0C">
            <w:pPr>
              <w:rPr>
                <w:strike/>
              </w:rPr>
            </w:pPr>
          </w:p>
          <w:p w14:paraId="6B957FC8" w14:textId="77777777" w:rsidR="005B0D74" w:rsidRPr="004A5028" w:rsidRDefault="005B0D74" w:rsidP="00280A0C"/>
        </w:tc>
        <w:tc>
          <w:tcPr>
            <w:tcW w:w="7938" w:type="dxa"/>
          </w:tcPr>
          <w:p w14:paraId="6154145D" w14:textId="77777777" w:rsidR="005B0D74" w:rsidRPr="004A5028" w:rsidRDefault="005B0D74" w:rsidP="00280A0C">
            <w:r w:rsidRPr="004A5028">
              <w:t>Suggestions for development:</w:t>
            </w:r>
          </w:p>
          <w:p w14:paraId="719E2599" w14:textId="77777777" w:rsidR="005B0D74" w:rsidRPr="004A5028" w:rsidRDefault="005B0D74" w:rsidP="00280A0C"/>
        </w:tc>
      </w:tr>
      <w:tr w:rsidR="004A5028" w:rsidRPr="004A5028" w14:paraId="2372D82F" w14:textId="77777777" w:rsidTr="00BC0D84">
        <w:trPr>
          <w:trHeight w:val="2105"/>
        </w:trPr>
        <w:tc>
          <w:tcPr>
            <w:tcW w:w="15446" w:type="dxa"/>
            <w:gridSpan w:val="2"/>
          </w:tcPr>
          <w:p w14:paraId="5D60BCA9" w14:textId="77777777" w:rsidR="005B0D74" w:rsidRPr="004A5028" w:rsidRDefault="005B0D74" w:rsidP="00280A0C">
            <w:r w:rsidRPr="004A5028">
              <w:t>Agreed action (SMART: Specific, Measurable, Achievable, Realistic and Timely):</w:t>
            </w:r>
          </w:p>
          <w:p w14:paraId="6332805A" w14:textId="77777777" w:rsidR="005B0D74" w:rsidRPr="004A5028" w:rsidRDefault="005B0D74" w:rsidP="00280A0C"/>
        </w:tc>
      </w:tr>
      <w:tr w:rsidR="004A5028" w:rsidRPr="004A5028" w14:paraId="2AA63D09" w14:textId="77777777" w:rsidTr="00BC0D84">
        <w:trPr>
          <w:trHeight w:val="1690"/>
        </w:trPr>
        <w:tc>
          <w:tcPr>
            <w:tcW w:w="15446" w:type="dxa"/>
            <w:gridSpan w:val="2"/>
          </w:tcPr>
          <w:p w14:paraId="07DC549A" w14:textId="64A3E3B7" w:rsidR="00895B3A" w:rsidRPr="004A5028" w:rsidRDefault="00E14BA2" w:rsidP="00280A0C">
            <w:r w:rsidRPr="004A5028">
              <w:t xml:space="preserve">Trainee </w:t>
            </w:r>
            <w:r w:rsidR="008E65A5">
              <w:t>p</w:t>
            </w:r>
            <w:r w:rsidR="008E65A5" w:rsidRPr="004A5028">
              <w:t xml:space="preserve">harmacist </w:t>
            </w:r>
            <w:r w:rsidR="008E65A5">
              <w:t>r</w:t>
            </w:r>
            <w:r w:rsidR="008E65A5" w:rsidRPr="004A5028">
              <w:t>eflection</w:t>
            </w:r>
            <w:r w:rsidR="008E65A5">
              <w:t>:</w:t>
            </w:r>
          </w:p>
        </w:tc>
      </w:tr>
    </w:tbl>
    <w:p w14:paraId="468058BD" w14:textId="77777777" w:rsidR="005B0D74" w:rsidRPr="004A5028" w:rsidRDefault="005B0D74" w:rsidP="005B0D74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91"/>
        <w:gridCol w:w="7272"/>
        <w:gridCol w:w="849"/>
        <w:gridCol w:w="2776"/>
      </w:tblGrid>
      <w:tr w:rsidR="004A5028" w:rsidRPr="004A5028" w14:paraId="62E40823" w14:textId="77777777" w:rsidTr="00470963">
        <w:trPr>
          <w:trHeight w:val="404"/>
        </w:trPr>
        <w:tc>
          <w:tcPr>
            <w:tcW w:w="1459" w:type="pct"/>
            <w:vAlign w:val="center"/>
          </w:tcPr>
          <w:p w14:paraId="44D915AA" w14:textId="6BDF1CF2" w:rsidR="005B0D74" w:rsidRPr="004A5028" w:rsidRDefault="005B0D74" w:rsidP="00280A0C">
            <w:pPr>
              <w:jc w:val="right"/>
            </w:pPr>
            <w:r w:rsidRPr="004A5028">
              <w:t xml:space="preserve">Name </w:t>
            </w:r>
            <w:r w:rsidR="008E65A5">
              <w:t>and</w:t>
            </w:r>
            <w:r w:rsidR="008E65A5" w:rsidRPr="004A5028">
              <w:t xml:space="preserve"> </w:t>
            </w:r>
            <w:r w:rsidRPr="004A5028">
              <w:t xml:space="preserve">Signature of </w:t>
            </w:r>
            <w:r w:rsidR="008E65A5">
              <w:t>s</w:t>
            </w:r>
            <w:r w:rsidR="008E65A5" w:rsidRPr="004A5028">
              <w:t>upervisor</w:t>
            </w:r>
            <w:r w:rsidRPr="004A5028">
              <w:t>:</w:t>
            </w:r>
          </w:p>
        </w:tc>
        <w:tc>
          <w:tcPr>
            <w:tcW w:w="2363" w:type="pct"/>
            <w:vAlign w:val="center"/>
          </w:tcPr>
          <w:p w14:paraId="70FCE460" w14:textId="77777777" w:rsidR="005B0D74" w:rsidRDefault="005B0D74" w:rsidP="00280A0C">
            <w:pPr>
              <w:jc w:val="right"/>
            </w:pPr>
          </w:p>
          <w:p w14:paraId="07AF7906" w14:textId="77777777" w:rsidR="00506207" w:rsidRDefault="00506207" w:rsidP="00280A0C">
            <w:pPr>
              <w:jc w:val="right"/>
            </w:pPr>
          </w:p>
          <w:p w14:paraId="4D555251" w14:textId="77777777" w:rsidR="00506207" w:rsidRDefault="00506207" w:rsidP="00280A0C">
            <w:pPr>
              <w:jc w:val="right"/>
            </w:pPr>
          </w:p>
          <w:p w14:paraId="5720EDC7" w14:textId="71C27D7E" w:rsidR="00506207" w:rsidRPr="004A5028" w:rsidRDefault="00506207" w:rsidP="00280A0C">
            <w:pPr>
              <w:jc w:val="right"/>
            </w:pPr>
          </w:p>
        </w:tc>
        <w:tc>
          <w:tcPr>
            <w:tcW w:w="276" w:type="pct"/>
            <w:vAlign w:val="center"/>
          </w:tcPr>
          <w:p w14:paraId="254ECF06" w14:textId="77777777" w:rsidR="005B0D74" w:rsidRPr="004A5028" w:rsidRDefault="005B0D74" w:rsidP="00280A0C">
            <w:pPr>
              <w:jc w:val="right"/>
            </w:pPr>
            <w:r w:rsidRPr="004A5028">
              <w:t>Date</w:t>
            </w:r>
          </w:p>
        </w:tc>
        <w:tc>
          <w:tcPr>
            <w:tcW w:w="902" w:type="pct"/>
          </w:tcPr>
          <w:p w14:paraId="5B68E9F3" w14:textId="77777777" w:rsidR="005B0D74" w:rsidRPr="004A5028" w:rsidRDefault="005B0D74" w:rsidP="00280A0C"/>
        </w:tc>
      </w:tr>
      <w:tr w:rsidR="004A5028" w:rsidRPr="004A5028" w14:paraId="6F51010B" w14:textId="77777777" w:rsidTr="004A5028">
        <w:trPr>
          <w:trHeight w:val="438"/>
        </w:trPr>
        <w:tc>
          <w:tcPr>
            <w:tcW w:w="1459" w:type="pct"/>
            <w:vAlign w:val="center"/>
          </w:tcPr>
          <w:p w14:paraId="61190007" w14:textId="238F07E5" w:rsidR="00783AE8" w:rsidRPr="004A5028" w:rsidRDefault="00783AE8" w:rsidP="00280A0C">
            <w:pPr>
              <w:jc w:val="right"/>
            </w:pPr>
            <w:r w:rsidRPr="004A5028">
              <w:t xml:space="preserve">Position of </w:t>
            </w:r>
            <w:r w:rsidR="008E65A5">
              <w:t>s</w:t>
            </w:r>
            <w:r w:rsidR="008E65A5" w:rsidRPr="004A5028">
              <w:t>upervisor</w:t>
            </w:r>
            <w:r w:rsidRPr="004A5028">
              <w:t>:</w:t>
            </w:r>
          </w:p>
        </w:tc>
        <w:tc>
          <w:tcPr>
            <w:tcW w:w="3541" w:type="pct"/>
            <w:gridSpan w:val="3"/>
            <w:vAlign w:val="center"/>
          </w:tcPr>
          <w:p w14:paraId="4A0CFCF4" w14:textId="1200BD4F" w:rsidR="00783AE8" w:rsidRPr="004A5028" w:rsidRDefault="00783AE8" w:rsidP="00280A0C">
            <w:r w:rsidRPr="004A5028">
              <w:t xml:space="preserve">Designated Supervisor </w:t>
            </w:r>
            <w:r w:rsidR="00470963" w:rsidRPr="004A5028">
              <w:t>/ Practice</w:t>
            </w:r>
            <w:r w:rsidRPr="004A5028">
              <w:t xml:space="preserve"> or Clinical Supervisor</w:t>
            </w:r>
          </w:p>
        </w:tc>
      </w:tr>
    </w:tbl>
    <w:p w14:paraId="47FBF1FE" w14:textId="77777777" w:rsidR="00727160" w:rsidRDefault="00727160" w:rsidP="00727160">
      <w:pPr>
        <w:rPr>
          <w:rFonts w:eastAsiaTheme="minorHAnsi" w:cs="Arial"/>
          <w:sz w:val="12"/>
          <w:szCs w:val="12"/>
        </w:rPr>
      </w:pPr>
    </w:p>
    <w:p w14:paraId="0BEC351C" w14:textId="7634D437" w:rsidR="00902142" w:rsidRPr="004A5028" w:rsidRDefault="009355E0" w:rsidP="00727160">
      <w:pPr>
        <w:rPr>
          <w:b/>
          <w:bCs/>
        </w:rPr>
      </w:pPr>
      <w:r w:rsidRPr="00AA248E">
        <w:rPr>
          <w:rFonts w:cs="Arial"/>
        </w:rPr>
        <w:t xml:space="preserve">NB: </w:t>
      </w:r>
      <w:r>
        <w:rPr>
          <w:rFonts w:cs="Arial"/>
        </w:rPr>
        <w:t>T</w:t>
      </w:r>
      <w:r w:rsidRPr="00AA248E">
        <w:rPr>
          <w:rFonts w:cs="Arial"/>
        </w:rPr>
        <w:t xml:space="preserve">his </w:t>
      </w:r>
      <w:r>
        <w:rPr>
          <w:rFonts w:cs="Arial"/>
        </w:rPr>
        <w:t xml:space="preserve">Assessment tool must </w:t>
      </w:r>
      <w:r w:rsidRPr="00AA248E">
        <w:rPr>
          <w:rFonts w:cs="Arial"/>
        </w:rPr>
        <w:t xml:space="preserve">be mapped by the trainee pharmacist to </w:t>
      </w:r>
      <w:r w:rsidRPr="0080373B">
        <w:rPr>
          <w:rFonts w:cs="Arial"/>
        </w:rPr>
        <w:t xml:space="preserve">the </w:t>
      </w:r>
      <w:hyperlink r:id="rId11" w:history="1">
        <w:r w:rsidR="00795ADB" w:rsidRPr="0080373B">
          <w:rPr>
            <w:rStyle w:val="Hyperlink"/>
            <w:rFonts w:cs="Arial"/>
          </w:rPr>
          <w:t>GPhC Foundati</w:t>
        </w:r>
        <w:r w:rsidR="00795ADB" w:rsidRPr="0080373B">
          <w:rPr>
            <w:rStyle w:val="Hyperlink"/>
            <w:rFonts w:cs="Arial"/>
          </w:rPr>
          <w:t>o</w:t>
        </w:r>
        <w:r w:rsidR="00795ADB" w:rsidRPr="0080373B">
          <w:rPr>
            <w:rStyle w:val="Hyperlink"/>
            <w:rFonts w:cs="Arial"/>
          </w:rPr>
          <w:t>n Trainin</w:t>
        </w:r>
        <w:r w:rsidR="00795ADB" w:rsidRPr="0080373B">
          <w:rPr>
            <w:rStyle w:val="Hyperlink"/>
            <w:rFonts w:cs="Arial"/>
          </w:rPr>
          <w:t>g</w:t>
        </w:r>
        <w:r w:rsidR="00795ADB" w:rsidRPr="0080373B">
          <w:rPr>
            <w:rStyle w:val="Hyperlink"/>
            <w:rFonts w:cs="Arial"/>
          </w:rPr>
          <w:t xml:space="preserve"> Year Interim Learning Outcomes</w:t>
        </w:r>
      </w:hyperlink>
      <w:r w:rsidRPr="00AA248E">
        <w:rPr>
          <w:rFonts w:cs="Arial"/>
        </w:rPr>
        <w:t xml:space="preserve"> and </w:t>
      </w:r>
      <w:hyperlink r:id="rId12" w:history="1">
        <w:r w:rsidRPr="005A6AD7">
          <w:rPr>
            <w:rStyle w:val="Hyperlink"/>
            <w:rFonts w:cs="Arial"/>
          </w:rPr>
          <w:t>HEE Foundation Training Year Assessment Activity</w:t>
        </w:r>
      </w:hyperlink>
      <w:r w:rsidRPr="00AA248E">
        <w:rPr>
          <w:rFonts w:cs="Arial"/>
        </w:rPr>
        <w:t xml:space="preserve"> when submitting </w:t>
      </w:r>
      <w:r>
        <w:rPr>
          <w:rFonts w:cs="Arial"/>
        </w:rPr>
        <w:t xml:space="preserve">it </w:t>
      </w:r>
      <w:r w:rsidRPr="00AA248E">
        <w:rPr>
          <w:rFonts w:cs="Arial"/>
        </w:rPr>
        <w:t>on the e-portfolio</w:t>
      </w:r>
      <w:r>
        <w:rPr>
          <w:rFonts w:cs="Arial"/>
        </w:rPr>
        <w:t xml:space="preserve">. </w:t>
      </w:r>
    </w:p>
    <w:sectPr w:rsidR="00902142" w:rsidRPr="004A5028" w:rsidSect="00FF0CB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BF9AD" w14:textId="77777777" w:rsidR="006A424B" w:rsidRDefault="006A424B" w:rsidP="002C137A">
      <w:r>
        <w:separator/>
      </w:r>
    </w:p>
  </w:endnote>
  <w:endnote w:type="continuationSeparator" w:id="0">
    <w:p w14:paraId="06E24B8D" w14:textId="77777777" w:rsidR="006A424B" w:rsidRDefault="006A424B" w:rsidP="002C137A">
      <w:r>
        <w:continuationSeparator/>
      </w:r>
    </w:p>
  </w:endnote>
  <w:endnote w:type="continuationNotice" w:id="1">
    <w:p w14:paraId="67F5E2B8" w14:textId="77777777" w:rsidR="006A424B" w:rsidRDefault="006A42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009DB" w14:textId="77777777" w:rsidR="00255289" w:rsidRDefault="002552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16BD6" w14:textId="77777777" w:rsidR="00255289" w:rsidRDefault="002552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5769822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23FD09AD" w14:textId="1521A4B7" w:rsidR="00255289" w:rsidRPr="00C43E97" w:rsidRDefault="00255289">
        <w:pPr>
          <w:pStyle w:val="Footer"/>
          <w:jc w:val="center"/>
          <w:rPr>
            <w:sz w:val="22"/>
            <w:szCs w:val="22"/>
          </w:rPr>
        </w:pPr>
        <w:r w:rsidRPr="00C43E97">
          <w:rPr>
            <w:sz w:val="22"/>
            <w:szCs w:val="22"/>
          </w:rPr>
          <w:fldChar w:fldCharType="begin"/>
        </w:r>
        <w:r w:rsidRPr="00C43E97">
          <w:rPr>
            <w:sz w:val="22"/>
            <w:szCs w:val="22"/>
          </w:rPr>
          <w:instrText xml:space="preserve"> PAGE   \* MERGEFORMAT </w:instrText>
        </w:r>
        <w:r w:rsidRPr="00C43E97">
          <w:rPr>
            <w:sz w:val="22"/>
            <w:szCs w:val="22"/>
          </w:rPr>
          <w:fldChar w:fldCharType="separate"/>
        </w:r>
        <w:r w:rsidRPr="00C43E97">
          <w:rPr>
            <w:noProof/>
            <w:sz w:val="22"/>
            <w:szCs w:val="22"/>
          </w:rPr>
          <w:t>2</w:t>
        </w:r>
        <w:r w:rsidRPr="00C43E97">
          <w:rPr>
            <w:noProof/>
            <w:sz w:val="22"/>
            <w:szCs w:val="22"/>
          </w:rPr>
          <w:fldChar w:fldCharType="end"/>
        </w:r>
        <w:r w:rsidR="00C43E97" w:rsidRPr="00C43E97">
          <w:rPr>
            <w:noProof/>
            <w:sz w:val="22"/>
            <w:szCs w:val="22"/>
          </w:rPr>
          <w:t>/2</w:t>
        </w:r>
      </w:p>
    </w:sdtContent>
  </w:sdt>
  <w:p w14:paraId="31C79567" w14:textId="77777777" w:rsidR="00255289" w:rsidRDefault="002552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E112C" w14:textId="77777777" w:rsidR="006A424B" w:rsidRDefault="006A424B" w:rsidP="002C137A">
      <w:r>
        <w:separator/>
      </w:r>
    </w:p>
  </w:footnote>
  <w:footnote w:type="continuationSeparator" w:id="0">
    <w:p w14:paraId="4C24600A" w14:textId="77777777" w:rsidR="006A424B" w:rsidRDefault="006A424B" w:rsidP="002C137A">
      <w:r>
        <w:continuationSeparator/>
      </w:r>
    </w:p>
  </w:footnote>
  <w:footnote w:type="continuationNotice" w:id="1">
    <w:p w14:paraId="553C9A25" w14:textId="77777777" w:rsidR="006A424B" w:rsidRDefault="006A42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A84E5" w14:textId="77777777" w:rsidR="00255289" w:rsidRDefault="002552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CA6FE" w14:textId="77777777" w:rsidR="00255289" w:rsidRDefault="002552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ACA49" w14:textId="508E8765" w:rsidR="00FF0CBA" w:rsidRDefault="00FF0CB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ED086F" wp14:editId="332BDCFC">
          <wp:simplePos x="0" y="0"/>
          <wp:positionH relativeFrom="margin">
            <wp:align>right</wp:align>
          </wp:positionH>
          <wp:positionV relativeFrom="margin">
            <wp:posOffset>-323850</wp:posOffset>
          </wp:positionV>
          <wp:extent cx="2455200" cy="565200"/>
          <wp:effectExtent l="0" t="0" r="2540" b="635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5200" cy="5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34707"/>
    <w:multiLevelType w:val="hybridMultilevel"/>
    <w:tmpl w:val="176858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74"/>
    <w:rsid w:val="00015A41"/>
    <w:rsid w:val="000B69BF"/>
    <w:rsid w:val="000E6F69"/>
    <w:rsid w:val="00150F15"/>
    <w:rsid w:val="0015448A"/>
    <w:rsid w:val="00164F00"/>
    <w:rsid w:val="0018394B"/>
    <w:rsid w:val="001925F1"/>
    <w:rsid w:val="001C62C6"/>
    <w:rsid w:val="00234BE3"/>
    <w:rsid w:val="00255289"/>
    <w:rsid w:val="002748C2"/>
    <w:rsid w:val="00280A0C"/>
    <w:rsid w:val="00293377"/>
    <w:rsid w:val="002A653E"/>
    <w:rsid w:val="002C137A"/>
    <w:rsid w:val="002C228D"/>
    <w:rsid w:val="00313DC1"/>
    <w:rsid w:val="00336832"/>
    <w:rsid w:val="00354B5D"/>
    <w:rsid w:val="00371444"/>
    <w:rsid w:val="00391CFF"/>
    <w:rsid w:val="003B1D1F"/>
    <w:rsid w:val="00425DDC"/>
    <w:rsid w:val="004331BC"/>
    <w:rsid w:val="0044150C"/>
    <w:rsid w:val="00444594"/>
    <w:rsid w:val="00461AFC"/>
    <w:rsid w:val="00470963"/>
    <w:rsid w:val="00486E11"/>
    <w:rsid w:val="004A5028"/>
    <w:rsid w:val="00502C24"/>
    <w:rsid w:val="00506207"/>
    <w:rsid w:val="00541471"/>
    <w:rsid w:val="0057350D"/>
    <w:rsid w:val="0058128A"/>
    <w:rsid w:val="005900EE"/>
    <w:rsid w:val="005A4AB1"/>
    <w:rsid w:val="005B0D74"/>
    <w:rsid w:val="005B6034"/>
    <w:rsid w:val="005C70F3"/>
    <w:rsid w:val="00641173"/>
    <w:rsid w:val="006520F6"/>
    <w:rsid w:val="006A424B"/>
    <w:rsid w:val="006B0B79"/>
    <w:rsid w:val="006D04B9"/>
    <w:rsid w:val="0072010F"/>
    <w:rsid w:val="00727160"/>
    <w:rsid w:val="0073402A"/>
    <w:rsid w:val="00782265"/>
    <w:rsid w:val="00783AE8"/>
    <w:rsid w:val="00795ADB"/>
    <w:rsid w:val="007B0226"/>
    <w:rsid w:val="007F45F3"/>
    <w:rsid w:val="00802528"/>
    <w:rsid w:val="00825E16"/>
    <w:rsid w:val="00842796"/>
    <w:rsid w:val="00864C49"/>
    <w:rsid w:val="00882196"/>
    <w:rsid w:val="00895B3A"/>
    <w:rsid w:val="008A74CC"/>
    <w:rsid w:val="008E65A5"/>
    <w:rsid w:val="00902142"/>
    <w:rsid w:val="00902B01"/>
    <w:rsid w:val="00915677"/>
    <w:rsid w:val="00933074"/>
    <w:rsid w:val="00934D95"/>
    <w:rsid w:val="009355E0"/>
    <w:rsid w:val="0094412C"/>
    <w:rsid w:val="00953472"/>
    <w:rsid w:val="00A31E1D"/>
    <w:rsid w:val="00A35D49"/>
    <w:rsid w:val="00A667A4"/>
    <w:rsid w:val="00AC5AD5"/>
    <w:rsid w:val="00AF2021"/>
    <w:rsid w:val="00B86DFB"/>
    <w:rsid w:val="00BC0AA5"/>
    <w:rsid w:val="00BC0D84"/>
    <w:rsid w:val="00BE417E"/>
    <w:rsid w:val="00C378C1"/>
    <w:rsid w:val="00C43E97"/>
    <w:rsid w:val="00CA575D"/>
    <w:rsid w:val="00CD2E85"/>
    <w:rsid w:val="00D41AB0"/>
    <w:rsid w:val="00D5352F"/>
    <w:rsid w:val="00D87ECD"/>
    <w:rsid w:val="00E03E69"/>
    <w:rsid w:val="00E14BA2"/>
    <w:rsid w:val="00E37A7B"/>
    <w:rsid w:val="00E66140"/>
    <w:rsid w:val="00E8619E"/>
    <w:rsid w:val="00EC7C6B"/>
    <w:rsid w:val="00ED1431"/>
    <w:rsid w:val="00F542B5"/>
    <w:rsid w:val="00F810E2"/>
    <w:rsid w:val="00FC12D3"/>
    <w:rsid w:val="00FD3F17"/>
    <w:rsid w:val="00FF0CBA"/>
    <w:rsid w:val="00FF63E7"/>
    <w:rsid w:val="1CDBF393"/>
    <w:rsid w:val="2CC263AD"/>
    <w:rsid w:val="4E1CB19C"/>
    <w:rsid w:val="655EF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B4B822"/>
  <w15:chartTrackingRefBased/>
  <w15:docId w15:val="{5DD00CAD-105D-4B5A-B507-EB3B443F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D74"/>
    <w:pPr>
      <w:spacing w:after="0" w:line="240" w:lineRule="auto"/>
    </w:pPr>
    <w:rPr>
      <w:rFonts w:ascii="Arial" w:eastAsiaTheme="minorEastAsia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0D74"/>
    <w:pPr>
      <w:spacing w:after="0" w:line="240" w:lineRule="auto"/>
    </w:pPr>
    <w:rPr>
      <w:rFonts w:ascii="Arial" w:eastAsiaTheme="minorEastAsia" w:hAnsi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0D74"/>
    <w:pPr>
      <w:ind w:left="720"/>
    </w:pPr>
    <w:rPr>
      <w:rFonts w:asciiTheme="minorHAnsi" w:eastAsiaTheme="minorHAnsi" w:hAnsiTheme="minorHAnsi"/>
      <w:sz w:val="22"/>
      <w:szCs w:val="22"/>
    </w:rPr>
  </w:style>
  <w:style w:type="table" w:styleId="PlainTable4">
    <w:name w:val="Plain Table 4"/>
    <w:basedOn w:val="TableNormal"/>
    <w:uiPriority w:val="44"/>
    <w:rsid w:val="005B0D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yle1">
    <w:name w:val="Style1"/>
    <w:basedOn w:val="Normal"/>
    <w:link w:val="Style1Char"/>
    <w:qFormat/>
    <w:rsid w:val="005B0D74"/>
    <w:pPr>
      <w:spacing w:after="200" w:line="276" w:lineRule="auto"/>
    </w:pPr>
    <w:rPr>
      <w:rFonts w:asciiTheme="minorHAnsi" w:eastAsiaTheme="minorHAnsi" w:hAnsiTheme="minorHAnsi"/>
      <w:b/>
      <w:color w:val="2F5496" w:themeColor="accent1" w:themeShade="BF"/>
      <w:sz w:val="22"/>
      <w:szCs w:val="22"/>
    </w:rPr>
  </w:style>
  <w:style w:type="character" w:customStyle="1" w:styleId="Style1Char">
    <w:name w:val="Style1 Char"/>
    <w:basedOn w:val="DefaultParagraphFont"/>
    <w:link w:val="Style1"/>
    <w:rsid w:val="005B0D74"/>
    <w:rPr>
      <w:b/>
      <w:color w:val="2F5496" w:themeColor="accent1" w:themeShade="BF"/>
    </w:rPr>
  </w:style>
  <w:style w:type="paragraph" w:customStyle="1" w:styleId="Style2">
    <w:name w:val="Style2"/>
    <w:basedOn w:val="Normal"/>
    <w:link w:val="Style2Char"/>
    <w:uiPriority w:val="99"/>
    <w:qFormat/>
    <w:rsid w:val="005B0D74"/>
    <w:pPr>
      <w:spacing w:after="200" w:line="276" w:lineRule="auto"/>
      <w:jc w:val="both"/>
    </w:pPr>
    <w:rPr>
      <w:rFonts w:asciiTheme="minorHAnsi" w:eastAsiaTheme="minorHAnsi" w:hAnsiTheme="minorHAnsi"/>
      <w:sz w:val="22"/>
      <w:szCs w:val="22"/>
    </w:rPr>
  </w:style>
  <w:style w:type="character" w:customStyle="1" w:styleId="Style2Char">
    <w:name w:val="Style2 Char"/>
    <w:basedOn w:val="DefaultParagraphFont"/>
    <w:link w:val="Style2"/>
    <w:uiPriority w:val="99"/>
    <w:rsid w:val="005B0D74"/>
  </w:style>
  <w:style w:type="table" w:styleId="ListTable1Light-Accent3">
    <w:name w:val="List Table 1 Light Accent 3"/>
    <w:basedOn w:val="TableNormal"/>
    <w:uiPriority w:val="46"/>
    <w:rsid w:val="005B0D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efault">
    <w:name w:val="Default"/>
    <w:rsid w:val="005B0D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782265"/>
    <w:pPr>
      <w:spacing w:after="0" w:line="240" w:lineRule="auto"/>
    </w:pPr>
    <w:rPr>
      <w:rFonts w:ascii="Arial" w:eastAsiaTheme="minorEastAsia" w:hAnsi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C13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37A"/>
    <w:rPr>
      <w:rFonts w:ascii="Arial" w:eastAsiaTheme="minorEastAsia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13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37A"/>
    <w:rPr>
      <w:rFonts w:ascii="Arial" w:eastAsiaTheme="minorEastAsia" w:hAnsi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340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0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402A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0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02A"/>
    <w:rPr>
      <w:rFonts w:ascii="Arial" w:eastAsiaTheme="minorEastAsia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95AD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4B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0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e.nhs.uk/our-work/pharmacy/trainee-pharmacist-foundation-year-programm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harmacyregulation.org/sites/default/files/document/interim-learning-outcomes-foundation-training-year-march-2021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9EAC427A103458A6D137D5C9D76EC" ma:contentTypeVersion="12" ma:contentTypeDescription="Create a new document." ma:contentTypeScope="" ma:versionID="360645bff00e5821d4683c2b1d47cd50">
  <xsd:schema xmlns:xsd="http://www.w3.org/2001/XMLSchema" xmlns:xs="http://www.w3.org/2001/XMLSchema" xmlns:p="http://schemas.microsoft.com/office/2006/metadata/properties" xmlns:ns2="548bfff6-467b-4220-bc4b-f3a7a55361b5" xmlns:ns3="fa8cee94-015a-412f-b526-48d39802a0fd" targetNamespace="http://schemas.microsoft.com/office/2006/metadata/properties" ma:root="true" ma:fieldsID="c8e4a62268c7ae245727e5345366554c" ns2:_="" ns3:_="">
    <xsd:import namespace="548bfff6-467b-4220-bc4b-f3a7a55361b5"/>
    <xsd:import namespace="fa8cee94-015a-412f-b526-48d39802a0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bfff6-467b-4220-bc4b-f3a7a5536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cee94-015a-412f-b526-48d39802a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8583C-C8F1-4340-B23F-E7DBD44025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5F8B35-B993-4324-A53E-E8B31BE79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bfff6-467b-4220-bc4b-f3a7a55361b5"/>
    <ds:schemaRef ds:uri="fa8cee94-015a-412f-b526-48d39802a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FB8382-C350-4753-9D9A-2042045C13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0F3C50-2307-458B-953A-AE98103FA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Reygate</dc:creator>
  <cp:keywords/>
  <dc:description/>
  <cp:lastModifiedBy>Delphine Abbott</cp:lastModifiedBy>
  <cp:revision>6</cp:revision>
  <dcterms:created xsi:type="dcterms:W3CDTF">2021-07-23T08:06:00Z</dcterms:created>
  <dcterms:modified xsi:type="dcterms:W3CDTF">2021-07-26T14:59:00Z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0x010100DA59EAC427A103458A6D137D5C9D76EC</vt:lpwstr>
  </property>
</Properties>
</file>