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82E40" w14:textId="0692575D" w:rsidR="006D2B09" w:rsidRDefault="006D2B09" w:rsidP="006D2B09">
      <w:bookmarkStart w:id="0" w:name="_GoBack"/>
      <w:bookmarkEnd w:id="0"/>
    </w:p>
    <w:p w14:paraId="03E34A9C" w14:textId="77777777" w:rsidR="006D2B09" w:rsidRDefault="006D2B09" w:rsidP="006D2B09">
      <w:pPr>
        <w:pStyle w:val="Reportcovertitle"/>
        <w:spacing w:before="0"/>
      </w:pPr>
    </w:p>
    <w:p w14:paraId="41B1F1CD" w14:textId="0D7E18B7" w:rsidR="006D2B09" w:rsidRPr="005D6695" w:rsidRDefault="000706BF" w:rsidP="005D6695">
      <w:pPr>
        <w:pStyle w:val="Reportcovertitle"/>
        <w:spacing w:before="0"/>
        <w:jc w:val="center"/>
        <w:rPr>
          <w:sz w:val="64"/>
          <w:szCs w:val="64"/>
        </w:rPr>
      </w:pPr>
      <w:r w:rsidRPr="005D6695">
        <w:rPr>
          <w:noProof/>
          <w:sz w:val="64"/>
          <w:szCs w:val="64"/>
          <w:lang w:eastAsia="en-GB"/>
        </w:rPr>
        <w:drawing>
          <wp:anchor distT="0" distB="0" distL="114300" distR="114300" simplePos="0" relativeHeight="251659264" behindDoc="0" locked="0" layoutInCell="1" allowOverlap="1" wp14:anchorId="10FC8E96" wp14:editId="572E66CD">
            <wp:simplePos x="0" y="0"/>
            <wp:positionH relativeFrom="page">
              <wp:align>left</wp:align>
            </wp:positionH>
            <wp:positionV relativeFrom="paragraph">
              <wp:posOffset>1510665</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53A3">
        <w:rPr>
          <w:noProof/>
          <w:sz w:val="64"/>
          <w:szCs w:val="64"/>
          <w:lang w:eastAsia="en-GB"/>
        </w:rPr>
        <w:t xml:space="preserve">Standards for </w:t>
      </w:r>
      <w:r>
        <w:rPr>
          <w:noProof/>
          <w:sz w:val="64"/>
          <w:szCs w:val="64"/>
          <w:lang w:eastAsia="en-GB"/>
        </w:rPr>
        <w:t xml:space="preserve">Education and Training for </w:t>
      </w:r>
      <w:r w:rsidR="006D2B09" w:rsidRPr="005D6695">
        <w:rPr>
          <w:noProof/>
          <w:sz w:val="64"/>
          <w:szCs w:val="64"/>
          <w:lang w:eastAsia="en-GB"/>
        </w:rPr>
        <w:t>Advanced Practice Programme</w:t>
      </w:r>
      <w:r>
        <w:rPr>
          <w:noProof/>
          <w:sz w:val="64"/>
          <w:szCs w:val="64"/>
          <w:lang w:eastAsia="en-GB"/>
        </w:rPr>
        <w:t xml:space="preserve">s </w:t>
      </w:r>
    </w:p>
    <w:p w14:paraId="6E20C91C" w14:textId="43D26626" w:rsidR="00BA4261" w:rsidRPr="005D6695" w:rsidRDefault="006D2B09" w:rsidP="005D6695">
      <w:pPr>
        <w:spacing w:before="1"/>
        <w:ind w:left="-426" w:right="59"/>
        <w:rPr>
          <w:color w:val="003893"/>
          <w:sz w:val="44"/>
          <w:szCs w:val="44"/>
        </w:rPr>
      </w:pPr>
      <w:r>
        <w:rPr>
          <w:noProof/>
          <w:lang w:bidi="ar-SA"/>
        </w:rPr>
        <w:drawing>
          <wp:anchor distT="0" distB="0" distL="114300" distR="114300" simplePos="0" relativeHeight="251665408" behindDoc="0" locked="0" layoutInCell="1" allowOverlap="1" wp14:anchorId="6C89959C" wp14:editId="753D68FF">
            <wp:simplePos x="0" y="0"/>
            <wp:positionH relativeFrom="column">
              <wp:posOffset>4551045</wp:posOffset>
            </wp:positionH>
            <wp:positionV relativeFrom="paragraph">
              <wp:posOffset>3662045</wp:posOffset>
            </wp:positionV>
            <wp:extent cx="2175510" cy="1922780"/>
            <wp:effectExtent l="0" t="0" r="0" b="127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UCLH_DAY 1 SURGERY_0162-11713.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175510" cy="192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4384" behindDoc="0" locked="0" layoutInCell="1" allowOverlap="1" wp14:anchorId="4FF1EB0F" wp14:editId="0ED371FF">
            <wp:simplePos x="0" y="0"/>
            <wp:positionH relativeFrom="column">
              <wp:posOffset>-271780</wp:posOffset>
            </wp:positionH>
            <wp:positionV relativeFrom="paragraph">
              <wp:posOffset>3661410</wp:posOffset>
            </wp:positionV>
            <wp:extent cx="2422525" cy="19215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 generic image.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422525" cy="192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60C90B6B" wp14:editId="1BC7E22A">
            <wp:simplePos x="0" y="0"/>
            <wp:positionH relativeFrom="column">
              <wp:posOffset>-273050</wp:posOffset>
            </wp:positionH>
            <wp:positionV relativeFrom="paragraph">
              <wp:posOffset>1609090</wp:posOffset>
            </wp:positionV>
            <wp:extent cx="2317115" cy="1922780"/>
            <wp:effectExtent l="0" t="0" r="6985"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7881.jpg"/>
                    <pic:cNvPicPr/>
                  </pic:nvPicPr>
                  <pic:blipFill rotWithShape="1">
                    <a:blip r:embed="rId14" cstate="screen">
                      <a:extLst>
                        <a:ext uri="{28A0092B-C50C-407E-A947-70E740481C1C}">
                          <a14:useLocalDpi xmlns:a14="http://schemas.microsoft.com/office/drawing/2010/main"/>
                        </a:ext>
                      </a:extLst>
                    </a:blip>
                    <a:srcRect/>
                    <a:stretch/>
                  </pic:blipFill>
                  <pic:spPr bwMode="auto">
                    <a:xfrm rot="10800000" flipH="1" flipV="1">
                      <a:off x="0" y="0"/>
                      <a:ext cx="2317115" cy="1922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2336" behindDoc="0" locked="0" layoutInCell="1" allowOverlap="1" wp14:anchorId="5E3C1403" wp14:editId="41D89E1E">
            <wp:simplePos x="0" y="0"/>
            <wp:positionH relativeFrom="column">
              <wp:posOffset>2153920</wp:posOffset>
            </wp:positionH>
            <wp:positionV relativeFrom="paragraph">
              <wp:posOffset>1609725</wp:posOffset>
            </wp:positionV>
            <wp:extent cx="2159635" cy="19221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LEM 317-11191.jp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159635" cy="1922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0" locked="0" layoutInCell="1" allowOverlap="1" wp14:anchorId="2E36B55F" wp14:editId="03D8DA80">
            <wp:simplePos x="0" y="0"/>
            <wp:positionH relativeFrom="column">
              <wp:posOffset>4406900</wp:posOffset>
            </wp:positionH>
            <wp:positionV relativeFrom="paragraph">
              <wp:posOffset>1624330</wp:posOffset>
            </wp:positionV>
            <wp:extent cx="2317115" cy="190754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PTP0646.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317115" cy="1907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3360" behindDoc="0" locked="0" layoutInCell="1" allowOverlap="1" wp14:anchorId="314323F0" wp14:editId="77C673F1">
            <wp:simplePos x="0" y="0"/>
            <wp:positionH relativeFrom="column">
              <wp:posOffset>2245995</wp:posOffset>
            </wp:positionH>
            <wp:positionV relativeFrom="paragraph">
              <wp:posOffset>3661410</wp:posOffset>
            </wp:positionV>
            <wp:extent cx="2220595" cy="1920240"/>
            <wp:effectExtent l="0" t="0" r="8255"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gill0128.jpg"/>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2220595" cy="1920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261" w:rsidRPr="005D6695">
        <w:rPr>
          <w:color w:val="003893"/>
          <w:sz w:val="44"/>
          <w:szCs w:val="44"/>
        </w:rPr>
        <w:t>Phase 1 accreditation of existing p</w:t>
      </w:r>
      <w:r w:rsidR="003310BC">
        <w:rPr>
          <w:color w:val="003893"/>
          <w:sz w:val="44"/>
          <w:szCs w:val="44"/>
        </w:rPr>
        <w:t xml:space="preserve">rogrammes </w:t>
      </w:r>
    </w:p>
    <w:p w14:paraId="60862606" w14:textId="77777777" w:rsidR="00BA4261" w:rsidRDefault="00BA4261" w:rsidP="006D2B09"/>
    <w:p w14:paraId="23331DBA" w14:textId="413F0C34" w:rsidR="0012290E" w:rsidRDefault="0012290E">
      <w:pPr>
        <w:pStyle w:val="BodyText"/>
        <w:rPr>
          <w:rFonts w:ascii="Times New Roman"/>
          <w:sz w:val="20"/>
        </w:rPr>
      </w:pPr>
    </w:p>
    <w:p w14:paraId="53803294" w14:textId="6772C683" w:rsidR="0012290E" w:rsidRDefault="0012290E">
      <w:pPr>
        <w:pStyle w:val="BodyText"/>
        <w:rPr>
          <w:rFonts w:ascii="Times New Roman"/>
          <w:sz w:val="20"/>
        </w:rPr>
      </w:pPr>
    </w:p>
    <w:p w14:paraId="782127B6" w14:textId="7BCC87FA" w:rsidR="0012290E" w:rsidRDefault="0012290E">
      <w:pPr>
        <w:pStyle w:val="BodyText"/>
        <w:rPr>
          <w:rFonts w:ascii="Times New Roman"/>
          <w:sz w:val="20"/>
        </w:rPr>
      </w:pPr>
    </w:p>
    <w:p w14:paraId="2AFD6A0E" w14:textId="77777777" w:rsidR="0012290E" w:rsidRDefault="0012290E">
      <w:pPr>
        <w:pStyle w:val="BodyText"/>
        <w:rPr>
          <w:rFonts w:ascii="Times New Roman"/>
          <w:sz w:val="20"/>
        </w:rPr>
      </w:pPr>
    </w:p>
    <w:p w14:paraId="56DA5528" w14:textId="77777777" w:rsidR="0012290E" w:rsidRDefault="0012290E">
      <w:pPr>
        <w:pStyle w:val="BodyText"/>
        <w:rPr>
          <w:rFonts w:ascii="Times New Roman"/>
          <w:sz w:val="20"/>
        </w:rPr>
      </w:pPr>
    </w:p>
    <w:p w14:paraId="1101B09B" w14:textId="77777777" w:rsidR="0012290E" w:rsidRDefault="0012290E">
      <w:pPr>
        <w:pStyle w:val="BodyText"/>
        <w:rPr>
          <w:rFonts w:ascii="Times New Roman"/>
          <w:sz w:val="20"/>
        </w:rPr>
      </w:pPr>
    </w:p>
    <w:p w14:paraId="08E0F252" w14:textId="77777777" w:rsidR="0012290E" w:rsidRDefault="0012290E">
      <w:pPr>
        <w:pStyle w:val="BodyText"/>
        <w:rPr>
          <w:rFonts w:ascii="Times New Roman"/>
          <w:sz w:val="20"/>
        </w:rPr>
      </w:pPr>
    </w:p>
    <w:p w14:paraId="38BCD642" w14:textId="77777777" w:rsidR="0012290E" w:rsidRDefault="0012290E">
      <w:pPr>
        <w:pStyle w:val="BodyText"/>
        <w:rPr>
          <w:rFonts w:ascii="Times New Roman"/>
          <w:sz w:val="20"/>
        </w:rPr>
      </w:pPr>
    </w:p>
    <w:p w14:paraId="3F746ABB" w14:textId="5F15B347" w:rsidR="00116517" w:rsidRDefault="00116517">
      <w:pPr>
        <w:rPr>
          <w:rFonts w:ascii="Times New Roman"/>
          <w:sz w:val="16"/>
          <w:szCs w:val="24"/>
        </w:rPr>
      </w:pPr>
      <w:r>
        <w:rPr>
          <w:rFonts w:ascii="Times New Roman"/>
          <w:sz w:val="16"/>
        </w:rPr>
        <w:br w:type="page"/>
      </w:r>
    </w:p>
    <w:sdt>
      <w:sdtPr>
        <w:rPr>
          <w:rFonts w:ascii="Arial" w:eastAsia="Arial" w:hAnsi="Arial" w:cs="Arial"/>
          <w:color w:val="auto"/>
          <w:sz w:val="22"/>
          <w:szCs w:val="22"/>
          <w:lang w:val="en-GB" w:eastAsia="en-GB" w:bidi="en-GB"/>
        </w:rPr>
        <w:id w:val="-1446924620"/>
        <w:docPartObj>
          <w:docPartGallery w:val="Table of Contents"/>
          <w:docPartUnique/>
        </w:docPartObj>
      </w:sdtPr>
      <w:sdtEndPr>
        <w:rPr>
          <w:b/>
          <w:bCs/>
          <w:noProof/>
        </w:rPr>
      </w:sdtEndPr>
      <w:sdtContent>
        <w:p w14:paraId="79E95C0D" w14:textId="580C7A66" w:rsidR="00792747" w:rsidRPr="005D6695" w:rsidRDefault="00792747">
          <w:pPr>
            <w:pStyle w:val="TOCHeading"/>
            <w:rPr>
              <w:rFonts w:ascii="Arial" w:hAnsi="Arial" w:cs="Arial"/>
              <w:b/>
              <w:bCs/>
              <w:color w:val="003893"/>
              <w:sz w:val="28"/>
              <w:szCs w:val="28"/>
            </w:rPr>
          </w:pPr>
          <w:r w:rsidRPr="005D6695">
            <w:rPr>
              <w:rFonts w:ascii="Arial" w:hAnsi="Arial" w:cs="Arial"/>
              <w:b/>
              <w:bCs/>
              <w:color w:val="003893"/>
              <w:sz w:val="28"/>
              <w:szCs w:val="28"/>
            </w:rPr>
            <w:t>Contents</w:t>
          </w:r>
        </w:p>
        <w:p w14:paraId="68CDF919" w14:textId="33E25155" w:rsidR="0059216F" w:rsidRDefault="00792747" w:rsidP="002E7726">
          <w:pPr>
            <w:pStyle w:val="TOC1"/>
            <w:rPr>
              <w:rFonts w:asciiTheme="minorHAnsi" w:eastAsiaTheme="minorEastAsia" w:hAnsiTheme="minorHAnsi" w:cstheme="minorBidi"/>
              <w:lang w:bidi="ar-SA"/>
            </w:rPr>
          </w:pPr>
          <w:r>
            <w:rPr>
              <w:noProof w:val="0"/>
            </w:rPr>
            <w:fldChar w:fldCharType="begin"/>
          </w:r>
          <w:r>
            <w:instrText xml:space="preserve"> TOC \o "1-3" \h \z \u </w:instrText>
          </w:r>
          <w:r>
            <w:rPr>
              <w:noProof w:val="0"/>
            </w:rPr>
            <w:fldChar w:fldCharType="separate"/>
          </w:r>
          <w:hyperlink w:anchor="_Toc34395791" w:history="1">
            <w:r w:rsidR="0059216F" w:rsidRPr="00B2351F">
              <w:rPr>
                <w:rStyle w:val="Hyperlink"/>
                <w:b/>
                <w:bCs/>
              </w:rPr>
              <w:t>Section 1: Explanation of the Standards of Education and Training (SET)</w:t>
            </w:r>
            <w:r w:rsidR="0059216F">
              <w:rPr>
                <w:webHidden/>
              </w:rPr>
              <w:tab/>
            </w:r>
            <w:r w:rsidR="0059216F">
              <w:rPr>
                <w:webHidden/>
              </w:rPr>
              <w:fldChar w:fldCharType="begin"/>
            </w:r>
            <w:r w:rsidR="0059216F">
              <w:rPr>
                <w:webHidden/>
              </w:rPr>
              <w:instrText xml:space="preserve"> PAGEREF _Toc34395791 \h </w:instrText>
            </w:r>
            <w:r w:rsidR="0059216F">
              <w:rPr>
                <w:webHidden/>
              </w:rPr>
            </w:r>
            <w:r w:rsidR="0059216F">
              <w:rPr>
                <w:webHidden/>
              </w:rPr>
              <w:fldChar w:fldCharType="separate"/>
            </w:r>
            <w:r w:rsidR="0059216F">
              <w:rPr>
                <w:webHidden/>
              </w:rPr>
              <w:t>3</w:t>
            </w:r>
            <w:r w:rsidR="0059216F">
              <w:rPr>
                <w:webHidden/>
              </w:rPr>
              <w:fldChar w:fldCharType="end"/>
            </w:r>
          </w:hyperlink>
        </w:p>
        <w:p w14:paraId="40DA1D6E" w14:textId="68AF328E" w:rsidR="0059216F" w:rsidRPr="00B2351F"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792" w:history="1">
            <w:r w:rsidR="0059216F" w:rsidRPr="00EB7DDC">
              <w:rPr>
                <w:rStyle w:val="Hyperlink"/>
                <w:noProof/>
                <w:sz w:val="24"/>
                <w:szCs w:val="24"/>
              </w:rPr>
              <w:t>Introduction</w:t>
            </w:r>
            <w:r w:rsidR="0059216F" w:rsidRPr="00B2351F">
              <w:rPr>
                <w:noProof/>
                <w:webHidden/>
                <w:sz w:val="24"/>
                <w:szCs w:val="24"/>
              </w:rPr>
              <w:tab/>
            </w:r>
            <w:r w:rsidR="0059216F" w:rsidRPr="00B2351F">
              <w:rPr>
                <w:noProof/>
                <w:webHidden/>
                <w:sz w:val="24"/>
                <w:szCs w:val="24"/>
              </w:rPr>
              <w:fldChar w:fldCharType="begin"/>
            </w:r>
            <w:r w:rsidR="0059216F" w:rsidRPr="00B2351F">
              <w:rPr>
                <w:noProof/>
                <w:webHidden/>
                <w:sz w:val="24"/>
                <w:szCs w:val="24"/>
              </w:rPr>
              <w:instrText xml:space="preserve"> PAGEREF _Toc34395792 \h </w:instrText>
            </w:r>
            <w:r w:rsidR="0059216F" w:rsidRPr="00B2351F">
              <w:rPr>
                <w:noProof/>
                <w:webHidden/>
                <w:sz w:val="24"/>
                <w:szCs w:val="24"/>
              </w:rPr>
            </w:r>
            <w:r w:rsidR="0059216F" w:rsidRPr="00B2351F">
              <w:rPr>
                <w:noProof/>
                <w:webHidden/>
                <w:sz w:val="24"/>
                <w:szCs w:val="24"/>
              </w:rPr>
              <w:fldChar w:fldCharType="separate"/>
            </w:r>
            <w:r w:rsidR="0059216F" w:rsidRPr="00B2351F">
              <w:rPr>
                <w:noProof/>
                <w:webHidden/>
                <w:sz w:val="24"/>
                <w:szCs w:val="24"/>
              </w:rPr>
              <w:t>3</w:t>
            </w:r>
            <w:r w:rsidR="0059216F" w:rsidRPr="00B2351F">
              <w:rPr>
                <w:noProof/>
                <w:webHidden/>
                <w:sz w:val="24"/>
                <w:szCs w:val="24"/>
              </w:rPr>
              <w:fldChar w:fldCharType="end"/>
            </w:r>
          </w:hyperlink>
        </w:p>
        <w:p w14:paraId="0AA7EDA4" w14:textId="1D9E6954" w:rsidR="0059216F" w:rsidRPr="00B2351F"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793" w:history="1">
            <w:r w:rsidR="0059216F" w:rsidRPr="00B2351F">
              <w:rPr>
                <w:rStyle w:val="Hyperlink"/>
                <w:noProof/>
                <w:sz w:val="24"/>
                <w:szCs w:val="24"/>
              </w:rPr>
              <w:t>Threshold requirements</w:t>
            </w:r>
            <w:r w:rsidR="0059216F" w:rsidRPr="00B2351F">
              <w:rPr>
                <w:noProof/>
                <w:webHidden/>
                <w:sz w:val="24"/>
                <w:szCs w:val="24"/>
              </w:rPr>
              <w:tab/>
            </w:r>
            <w:r w:rsidR="0059216F" w:rsidRPr="00B2351F">
              <w:rPr>
                <w:noProof/>
                <w:webHidden/>
                <w:sz w:val="24"/>
                <w:szCs w:val="24"/>
              </w:rPr>
              <w:fldChar w:fldCharType="begin"/>
            </w:r>
            <w:r w:rsidR="0059216F" w:rsidRPr="00B2351F">
              <w:rPr>
                <w:noProof/>
                <w:webHidden/>
                <w:sz w:val="24"/>
                <w:szCs w:val="24"/>
              </w:rPr>
              <w:instrText xml:space="preserve"> PAGEREF _Toc34395793 \h </w:instrText>
            </w:r>
            <w:r w:rsidR="0059216F" w:rsidRPr="00B2351F">
              <w:rPr>
                <w:noProof/>
                <w:webHidden/>
                <w:sz w:val="24"/>
                <w:szCs w:val="24"/>
              </w:rPr>
            </w:r>
            <w:r w:rsidR="0059216F" w:rsidRPr="00B2351F">
              <w:rPr>
                <w:noProof/>
                <w:webHidden/>
                <w:sz w:val="24"/>
                <w:szCs w:val="24"/>
              </w:rPr>
              <w:fldChar w:fldCharType="separate"/>
            </w:r>
            <w:r w:rsidR="0059216F" w:rsidRPr="00B2351F">
              <w:rPr>
                <w:noProof/>
                <w:webHidden/>
                <w:sz w:val="24"/>
                <w:szCs w:val="24"/>
              </w:rPr>
              <w:t>3</w:t>
            </w:r>
            <w:r w:rsidR="0059216F" w:rsidRPr="00B2351F">
              <w:rPr>
                <w:noProof/>
                <w:webHidden/>
                <w:sz w:val="24"/>
                <w:szCs w:val="24"/>
              </w:rPr>
              <w:fldChar w:fldCharType="end"/>
            </w:r>
          </w:hyperlink>
        </w:p>
        <w:p w14:paraId="67545689" w14:textId="1F565A40" w:rsidR="0059216F" w:rsidRDefault="00FF144C">
          <w:pPr>
            <w:pStyle w:val="TOC2"/>
            <w:tabs>
              <w:tab w:val="right" w:leader="dot" w:pos="9830"/>
            </w:tabs>
            <w:rPr>
              <w:rFonts w:asciiTheme="minorHAnsi" w:eastAsiaTheme="minorEastAsia" w:hAnsiTheme="minorHAnsi" w:cstheme="minorBidi"/>
              <w:noProof/>
              <w:lang w:bidi="ar-SA"/>
            </w:rPr>
          </w:pPr>
          <w:hyperlink w:anchor="_Toc34395794" w:history="1">
            <w:r w:rsidR="0059216F" w:rsidRPr="00B2351F">
              <w:rPr>
                <w:rStyle w:val="Hyperlink"/>
                <w:noProof/>
                <w:sz w:val="24"/>
                <w:szCs w:val="24"/>
              </w:rPr>
              <w:t>SET domains</w:t>
            </w:r>
            <w:r w:rsidR="0059216F" w:rsidRPr="00B2351F">
              <w:rPr>
                <w:noProof/>
                <w:webHidden/>
                <w:sz w:val="24"/>
                <w:szCs w:val="24"/>
              </w:rPr>
              <w:tab/>
            </w:r>
            <w:r w:rsidR="003619EE">
              <w:rPr>
                <w:noProof/>
                <w:webHidden/>
                <w:sz w:val="24"/>
                <w:szCs w:val="24"/>
              </w:rPr>
              <w:t>5</w:t>
            </w:r>
          </w:hyperlink>
        </w:p>
        <w:p w14:paraId="2988BB2F" w14:textId="30033A7F" w:rsidR="0059216F" w:rsidRPr="00694DB9" w:rsidRDefault="00FF144C" w:rsidP="002E7726">
          <w:pPr>
            <w:pStyle w:val="TOC1"/>
            <w:rPr>
              <w:rFonts w:asciiTheme="minorHAnsi" w:eastAsiaTheme="minorEastAsia" w:hAnsiTheme="minorHAnsi" w:cstheme="minorBidi"/>
              <w:lang w:bidi="ar-SA"/>
            </w:rPr>
          </w:pPr>
          <w:hyperlink w:anchor="_Toc34395795" w:history="1">
            <w:r w:rsidR="0059216F" w:rsidRPr="00694DB9">
              <w:rPr>
                <w:rStyle w:val="Hyperlink"/>
                <w:b/>
                <w:bCs/>
              </w:rPr>
              <w:t>Section 2: The Standards of Education and Training in full</w:t>
            </w:r>
            <w:r w:rsidR="0059216F" w:rsidRPr="00694DB9">
              <w:rPr>
                <w:webHidden/>
              </w:rPr>
              <w:tab/>
            </w:r>
            <w:r w:rsidR="003619EE">
              <w:rPr>
                <w:webHidden/>
              </w:rPr>
              <w:t>6</w:t>
            </w:r>
          </w:hyperlink>
        </w:p>
        <w:p w14:paraId="7D81C5C0" w14:textId="0B7C1003"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796" w:history="1">
            <w:r w:rsidR="0059216F" w:rsidRPr="00694DB9">
              <w:rPr>
                <w:rStyle w:val="Hyperlink"/>
                <w:noProof/>
                <w:spacing w:val="11"/>
                <w:sz w:val="24"/>
                <w:szCs w:val="24"/>
              </w:rPr>
              <w:t xml:space="preserve">Domain </w:t>
            </w:r>
            <w:r w:rsidR="0059216F" w:rsidRPr="00694DB9">
              <w:rPr>
                <w:rStyle w:val="Hyperlink"/>
                <w:noProof/>
                <w:spacing w:val="7"/>
                <w:sz w:val="24"/>
                <w:szCs w:val="24"/>
              </w:rPr>
              <w:t xml:space="preserve">1: </w:t>
            </w:r>
            <w:r w:rsidR="0059216F" w:rsidRPr="00694DB9">
              <w:rPr>
                <w:rStyle w:val="Hyperlink"/>
                <w:noProof/>
                <w:spacing w:val="13"/>
                <w:sz w:val="24"/>
                <w:szCs w:val="24"/>
              </w:rPr>
              <w:t>Person-centred</w:t>
            </w:r>
            <w:r w:rsidR="0059216F" w:rsidRPr="00694DB9">
              <w:rPr>
                <w:rStyle w:val="Hyperlink"/>
                <w:noProof/>
                <w:spacing w:val="76"/>
                <w:sz w:val="24"/>
                <w:szCs w:val="24"/>
              </w:rPr>
              <w:t xml:space="preserve"> </w:t>
            </w:r>
            <w:r w:rsidR="0059216F" w:rsidRPr="00694DB9">
              <w:rPr>
                <w:rStyle w:val="Hyperlink"/>
                <w:noProof/>
                <w:spacing w:val="12"/>
                <w:sz w:val="24"/>
                <w:szCs w:val="24"/>
              </w:rPr>
              <w:t>approach</w:t>
            </w:r>
            <w:r w:rsidR="0059216F" w:rsidRPr="00694DB9">
              <w:rPr>
                <w:noProof/>
                <w:webHidden/>
                <w:sz w:val="24"/>
                <w:szCs w:val="24"/>
              </w:rPr>
              <w:tab/>
            </w:r>
            <w:r w:rsidR="003619EE">
              <w:rPr>
                <w:noProof/>
                <w:webHidden/>
                <w:sz w:val="24"/>
                <w:szCs w:val="24"/>
              </w:rPr>
              <w:t>6</w:t>
            </w:r>
          </w:hyperlink>
        </w:p>
        <w:p w14:paraId="768C421F" w14:textId="712D0EAB"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797" w:history="1">
            <w:r w:rsidR="0059216F" w:rsidRPr="00694DB9">
              <w:rPr>
                <w:rStyle w:val="Hyperlink"/>
                <w:noProof/>
                <w:spacing w:val="11"/>
                <w:sz w:val="24"/>
                <w:szCs w:val="24"/>
              </w:rPr>
              <w:t>Domain 2: Learner-centred approach</w:t>
            </w:r>
            <w:r w:rsidR="0059216F" w:rsidRPr="00694DB9">
              <w:rPr>
                <w:noProof/>
                <w:webHidden/>
                <w:sz w:val="24"/>
                <w:szCs w:val="24"/>
              </w:rPr>
              <w:tab/>
            </w:r>
            <w:r w:rsidR="003619EE">
              <w:rPr>
                <w:noProof/>
                <w:webHidden/>
                <w:sz w:val="24"/>
                <w:szCs w:val="24"/>
              </w:rPr>
              <w:t>7</w:t>
            </w:r>
          </w:hyperlink>
        </w:p>
        <w:p w14:paraId="7DD18456" w14:textId="45975FE6"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798" w:history="1">
            <w:r w:rsidR="0059216F" w:rsidRPr="00694DB9">
              <w:rPr>
                <w:rStyle w:val="Hyperlink"/>
                <w:noProof/>
                <w:spacing w:val="11"/>
                <w:sz w:val="24"/>
                <w:szCs w:val="24"/>
              </w:rPr>
              <w:t xml:space="preserve">Domain </w:t>
            </w:r>
            <w:r w:rsidR="0059216F" w:rsidRPr="00694DB9">
              <w:rPr>
                <w:rStyle w:val="Hyperlink"/>
                <w:noProof/>
                <w:spacing w:val="7"/>
                <w:sz w:val="24"/>
                <w:szCs w:val="24"/>
              </w:rPr>
              <w:t xml:space="preserve">3: </w:t>
            </w:r>
            <w:r w:rsidR="0059216F" w:rsidRPr="00694DB9">
              <w:rPr>
                <w:rStyle w:val="Hyperlink"/>
                <w:noProof/>
                <w:spacing w:val="13"/>
                <w:sz w:val="24"/>
                <w:szCs w:val="24"/>
              </w:rPr>
              <w:t>Learning in the workplace</w:t>
            </w:r>
            <w:r w:rsidR="0059216F" w:rsidRPr="00694DB9">
              <w:rPr>
                <w:noProof/>
                <w:webHidden/>
                <w:sz w:val="24"/>
                <w:szCs w:val="24"/>
              </w:rPr>
              <w:tab/>
            </w:r>
            <w:r w:rsidR="003619EE">
              <w:rPr>
                <w:noProof/>
                <w:webHidden/>
                <w:sz w:val="24"/>
                <w:szCs w:val="24"/>
              </w:rPr>
              <w:t>8</w:t>
            </w:r>
          </w:hyperlink>
        </w:p>
        <w:p w14:paraId="69CED8CA" w14:textId="48490D1D"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799" w:history="1">
            <w:r w:rsidR="0059216F" w:rsidRPr="00694DB9">
              <w:rPr>
                <w:rStyle w:val="Hyperlink"/>
                <w:noProof/>
                <w:spacing w:val="11"/>
                <w:sz w:val="24"/>
                <w:szCs w:val="24"/>
              </w:rPr>
              <w:t xml:space="preserve">Domain </w:t>
            </w:r>
            <w:r w:rsidR="0059216F" w:rsidRPr="00694DB9">
              <w:rPr>
                <w:rStyle w:val="Hyperlink"/>
                <w:noProof/>
                <w:spacing w:val="7"/>
                <w:sz w:val="24"/>
                <w:szCs w:val="24"/>
              </w:rPr>
              <w:t xml:space="preserve">4: </w:t>
            </w:r>
            <w:r w:rsidR="0059216F" w:rsidRPr="00694DB9">
              <w:rPr>
                <w:rStyle w:val="Hyperlink"/>
                <w:noProof/>
                <w:spacing w:val="12"/>
                <w:sz w:val="24"/>
                <w:szCs w:val="24"/>
              </w:rPr>
              <w:t>Programme</w:t>
            </w:r>
            <w:r w:rsidR="0059216F" w:rsidRPr="00694DB9">
              <w:rPr>
                <w:rStyle w:val="Hyperlink"/>
                <w:noProof/>
                <w:spacing w:val="76"/>
                <w:sz w:val="24"/>
                <w:szCs w:val="24"/>
              </w:rPr>
              <w:t xml:space="preserve"> </w:t>
            </w:r>
            <w:r w:rsidR="0059216F" w:rsidRPr="00694DB9">
              <w:rPr>
                <w:rStyle w:val="Hyperlink"/>
                <w:noProof/>
                <w:spacing w:val="12"/>
                <w:sz w:val="24"/>
                <w:szCs w:val="24"/>
              </w:rPr>
              <w:t>content</w:t>
            </w:r>
            <w:r w:rsidR="0059216F" w:rsidRPr="00694DB9">
              <w:rPr>
                <w:noProof/>
                <w:webHidden/>
                <w:sz w:val="24"/>
                <w:szCs w:val="24"/>
              </w:rPr>
              <w:tab/>
            </w:r>
            <w:r w:rsidR="003619EE">
              <w:rPr>
                <w:noProof/>
                <w:webHidden/>
                <w:sz w:val="24"/>
                <w:szCs w:val="24"/>
              </w:rPr>
              <w:t>9</w:t>
            </w:r>
          </w:hyperlink>
        </w:p>
        <w:p w14:paraId="3F5FBFD5" w14:textId="1C658943"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0" w:history="1">
            <w:r w:rsidR="0059216F" w:rsidRPr="00694DB9">
              <w:rPr>
                <w:rStyle w:val="Hyperlink"/>
                <w:noProof/>
                <w:spacing w:val="11"/>
                <w:sz w:val="24"/>
                <w:szCs w:val="24"/>
              </w:rPr>
              <w:t xml:space="preserve">Domain </w:t>
            </w:r>
            <w:r w:rsidR="0059216F" w:rsidRPr="00694DB9">
              <w:rPr>
                <w:rStyle w:val="Hyperlink"/>
                <w:noProof/>
                <w:spacing w:val="7"/>
                <w:sz w:val="24"/>
                <w:szCs w:val="24"/>
              </w:rPr>
              <w:t xml:space="preserve">5: </w:t>
            </w:r>
            <w:r w:rsidR="0059216F" w:rsidRPr="00694DB9">
              <w:rPr>
                <w:rStyle w:val="Hyperlink"/>
                <w:noProof/>
                <w:spacing w:val="12"/>
                <w:sz w:val="24"/>
                <w:szCs w:val="24"/>
              </w:rPr>
              <w:t>Programme</w:t>
            </w:r>
            <w:r w:rsidR="0059216F" w:rsidRPr="00694DB9">
              <w:rPr>
                <w:rStyle w:val="Hyperlink"/>
                <w:noProof/>
                <w:spacing w:val="76"/>
                <w:sz w:val="24"/>
                <w:szCs w:val="24"/>
              </w:rPr>
              <w:t xml:space="preserve"> </w:t>
            </w:r>
            <w:r w:rsidR="0059216F" w:rsidRPr="00694DB9">
              <w:rPr>
                <w:rStyle w:val="Hyperlink"/>
                <w:noProof/>
                <w:spacing w:val="12"/>
                <w:sz w:val="24"/>
                <w:szCs w:val="24"/>
              </w:rPr>
              <w:t>delivery</w:t>
            </w:r>
            <w:r w:rsidR="0059216F" w:rsidRPr="00694DB9">
              <w:rPr>
                <w:noProof/>
                <w:webHidden/>
                <w:sz w:val="24"/>
                <w:szCs w:val="24"/>
              </w:rPr>
              <w:tab/>
            </w:r>
            <w:r w:rsidR="003619EE">
              <w:rPr>
                <w:noProof/>
                <w:webHidden/>
                <w:sz w:val="24"/>
                <w:szCs w:val="24"/>
              </w:rPr>
              <w:t>10</w:t>
            </w:r>
          </w:hyperlink>
        </w:p>
        <w:p w14:paraId="574F3148" w14:textId="141E8901"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1" w:history="1">
            <w:r w:rsidR="0059216F" w:rsidRPr="00694DB9">
              <w:rPr>
                <w:rStyle w:val="Hyperlink"/>
                <w:noProof/>
                <w:spacing w:val="11"/>
                <w:sz w:val="24"/>
                <w:szCs w:val="24"/>
              </w:rPr>
              <w:t xml:space="preserve">Domain </w:t>
            </w:r>
            <w:r w:rsidR="0059216F" w:rsidRPr="00694DB9">
              <w:rPr>
                <w:rStyle w:val="Hyperlink"/>
                <w:noProof/>
                <w:spacing w:val="7"/>
                <w:sz w:val="24"/>
                <w:szCs w:val="24"/>
              </w:rPr>
              <w:t xml:space="preserve">6: </w:t>
            </w:r>
            <w:r w:rsidR="0059216F" w:rsidRPr="00694DB9">
              <w:rPr>
                <w:rStyle w:val="Hyperlink"/>
                <w:noProof/>
                <w:spacing w:val="12"/>
                <w:sz w:val="24"/>
                <w:szCs w:val="24"/>
              </w:rPr>
              <w:t>Learner</w:t>
            </w:r>
            <w:r w:rsidR="0059216F" w:rsidRPr="00694DB9">
              <w:rPr>
                <w:rStyle w:val="Hyperlink"/>
                <w:noProof/>
                <w:spacing w:val="77"/>
                <w:sz w:val="24"/>
                <w:szCs w:val="24"/>
              </w:rPr>
              <w:t xml:space="preserve"> </w:t>
            </w:r>
            <w:r w:rsidR="0059216F" w:rsidRPr="00694DB9">
              <w:rPr>
                <w:rStyle w:val="Hyperlink"/>
                <w:noProof/>
                <w:spacing w:val="12"/>
                <w:sz w:val="24"/>
                <w:szCs w:val="24"/>
              </w:rPr>
              <w:t>assessment</w:t>
            </w:r>
            <w:r w:rsidR="0059216F" w:rsidRPr="00694DB9">
              <w:rPr>
                <w:noProof/>
                <w:webHidden/>
                <w:sz w:val="24"/>
                <w:szCs w:val="24"/>
              </w:rPr>
              <w:tab/>
            </w:r>
            <w:r w:rsidR="003619EE">
              <w:rPr>
                <w:noProof/>
                <w:webHidden/>
                <w:sz w:val="24"/>
                <w:szCs w:val="24"/>
              </w:rPr>
              <w:t>11</w:t>
            </w:r>
          </w:hyperlink>
        </w:p>
        <w:p w14:paraId="14228E5F" w14:textId="66997F5A" w:rsidR="0059216F" w:rsidRPr="00694DB9"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2" w:history="1">
            <w:r w:rsidR="0059216F" w:rsidRPr="00694DB9">
              <w:rPr>
                <w:rStyle w:val="Hyperlink"/>
                <w:noProof/>
                <w:spacing w:val="11"/>
                <w:sz w:val="24"/>
                <w:szCs w:val="24"/>
              </w:rPr>
              <w:t xml:space="preserve">Domain </w:t>
            </w:r>
            <w:r w:rsidR="0059216F" w:rsidRPr="00694DB9">
              <w:rPr>
                <w:rStyle w:val="Hyperlink"/>
                <w:noProof/>
                <w:spacing w:val="7"/>
                <w:sz w:val="24"/>
                <w:szCs w:val="24"/>
              </w:rPr>
              <w:t xml:space="preserve">7: </w:t>
            </w:r>
            <w:r w:rsidR="0059216F" w:rsidRPr="00694DB9">
              <w:rPr>
                <w:rStyle w:val="Hyperlink"/>
                <w:noProof/>
                <w:spacing w:val="12"/>
                <w:sz w:val="24"/>
                <w:szCs w:val="24"/>
              </w:rPr>
              <w:t>Programme</w:t>
            </w:r>
            <w:r w:rsidR="0059216F" w:rsidRPr="00694DB9">
              <w:rPr>
                <w:rStyle w:val="Hyperlink"/>
                <w:noProof/>
                <w:spacing w:val="77"/>
                <w:sz w:val="24"/>
                <w:szCs w:val="24"/>
              </w:rPr>
              <w:t xml:space="preserve"> </w:t>
            </w:r>
            <w:r w:rsidR="0059216F" w:rsidRPr="00694DB9">
              <w:rPr>
                <w:rStyle w:val="Hyperlink"/>
                <w:noProof/>
                <w:spacing w:val="12"/>
                <w:sz w:val="24"/>
                <w:szCs w:val="24"/>
              </w:rPr>
              <w:t>management</w:t>
            </w:r>
            <w:r w:rsidR="0059216F" w:rsidRPr="00694DB9">
              <w:rPr>
                <w:noProof/>
                <w:webHidden/>
                <w:sz w:val="24"/>
                <w:szCs w:val="24"/>
              </w:rPr>
              <w:tab/>
            </w:r>
            <w:r w:rsidR="0059216F" w:rsidRPr="00694DB9">
              <w:rPr>
                <w:noProof/>
                <w:webHidden/>
                <w:sz w:val="24"/>
                <w:szCs w:val="24"/>
              </w:rPr>
              <w:fldChar w:fldCharType="begin"/>
            </w:r>
            <w:r w:rsidR="0059216F" w:rsidRPr="00694DB9">
              <w:rPr>
                <w:noProof/>
                <w:webHidden/>
                <w:sz w:val="24"/>
                <w:szCs w:val="24"/>
              </w:rPr>
              <w:instrText xml:space="preserve"> PAGEREF _Toc34395802 \h </w:instrText>
            </w:r>
            <w:r w:rsidR="0059216F" w:rsidRPr="00694DB9">
              <w:rPr>
                <w:noProof/>
                <w:webHidden/>
                <w:sz w:val="24"/>
                <w:szCs w:val="24"/>
              </w:rPr>
            </w:r>
            <w:r w:rsidR="0059216F" w:rsidRPr="00694DB9">
              <w:rPr>
                <w:noProof/>
                <w:webHidden/>
                <w:sz w:val="24"/>
                <w:szCs w:val="24"/>
              </w:rPr>
              <w:fldChar w:fldCharType="separate"/>
            </w:r>
            <w:r w:rsidR="0059216F" w:rsidRPr="00694DB9">
              <w:rPr>
                <w:noProof/>
                <w:webHidden/>
                <w:sz w:val="24"/>
                <w:szCs w:val="24"/>
              </w:rPr>
              <w:t>1</w:t>
            </w:r>
            <w:r w:rsidR="003619EE">
              <w:rPr>
                <w:noProof/>
                <w:webHidden/>
                <w:sz w:val="24"/>
                <w:szCs w:val="24"/>
              </w:rPr>
              <w:t>1</w:t>
            </w:r>
            <w:r w:rsidR="0059216F" w:rsidRPr="00694DB9">
              <w:rPr>
                <w:noProof/>
                <w:webHidden/>
                <w:sz w:val="24"/>
                <w:szCs w:val="24"/>
              </w:rPr>
              <w:fldChar w:fldCharType="end"/>
            </w:r>
          </w:hyperlink>
        </w:p>
        <w:p w14:paraId="0CBC859E" w14:textId="12C9BEFB" w:rsidR="0059216F" w:rsidRPr="002E7726" w:rsidRDefault="00FF144C" w:rsidP="002E7726">
          <w:pPr>
            <w:pStyle w:val="TOC1"/>
            <w:rPr>
              <w:rFonts w:asciiTheme="minorHAnsi" w:eastAsiaTheme="minorEastAsia" w:hAnsiTheme="minorHAnsi" w:cstheme="minorBidi"/>
              <w:lang w:bidi="ar-SA"/>
            </w:rPr>
          </w:pPr>
          <w:hyperlink w:anchor="_Toc34395803" w:history="1">
            <w:r w:rsidR="0059216F" w:rsidRPr="002E7726">
              <w:rPr>
                <w:rStyle w:val="Hyperlink"/>
                <w:b/>
                <w:bCs/>
              </w:rPr>
              <w:t>Section 3: Demonstrating fulfilment of the SET</w:t>
            </w:r>
            <w:r w:rsidR="0059216F" w:rsidRPr="002E7726">
              <w:rPr>
                <w:webHidden/>
              </w:rPr>
              <w:tab/>
            </w:r>
            <w:r w:rsidR="003619EE">
              <w:rPr>
                <w:webHidden/>
              </w:rPr>
              <w:t>13</w:t>
            </w:r>
          </w:hyperlink>
        </w:p>
        <w:p w14:paraId="375EAD3B" w14:textId="18A5AFD0" w:rsidR="0059216F" w:rsidRPr="004307E5"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4" w:history="1">
            <w:r w:rsidR="0059216F" w:rsidRPr="004307E5">
              <w:rPr>
                <w:rStyle w:val="Hyperlink"/>
                <w:noProof/>
                <w:spacing w:val="12"/>
                <w:sz w:val="24"/>
                <w:szCs w:val="24"/>
              </w:rPr>
              <w:t xml:space="preserve">Programme credit </w:t>
            </w:r>
            <w:r w:rsidR="0059216F" w:rsidRPr="004307E5">
              <w:rPr>
                <w:rStyle w:val="Hyperlink"/>
                <w:noProof/>
                <w:spacing w:val="9"/>
                <w:sz w:val="24"/>
                <w:szCs w:val="24"/>
              </w:rPr>
              <w:t>and</w:t>
            </w:r>
            <w:r w:rsidR="0059216F" w:rsidRPr="004307E5">
              <w:rPr>
                <w:rStyle w:val="Hyperlink"/>
                <w:noProof/>
                <w:spacing w:val="71"/>
                <w:sz w:val="24"/>
                <w:szCs w:val="24"/>
              </w:rPr>
              <w:t xml:space="preserve"> </w:t>
            </w:r>
            <w:r w:rsidR="0059216F" w:rsidRPr="004307E5">
              <w:rPr>
                <w:rStyle w:val="Hyperlink"/>
                <w:noProof/>
                <w:spacing w:val="11"/>
                <w:sz w:val="24"/>
                <w:szCs w:val="24"/>
              </w:rPr>
              <w:t>awards</w:t>
            </w:r>
            <w:r w:rsidR="0059216F" w:rsidRPr="004307E5">
              <w:rPr>
                <w:noProof/>
                <w:webHidden/>
                <w:sz w:val="24"/>
                <w:szCs w:val="24"/>
              </w:rPr>
              <w:tab/>
            </w:r>
            <w:r w:rsidR="00961868">
              <w:rPr>
                <w:noProof/>
                <w:webHidden/>
                <w:sz w:val="24"/>
                <w:szCs w:val="24"/>
              </w:rPr>
              <w:t>13</w:t>
            </w:r>
          </w:hyperlink>
        </w:p>
        <w:p w14:paraId="46287811" w14:textId="7F8F5379" w:rsidR="0059216F" w:rsidRPr="004307E5"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5" w:history="1">
            <w:r w:rsidR="0059216F" w:rsidRPr="004307E5">
              <w:rPr>
                <w:rStyle w:val="Hyperlink"/>
                <w:noProof/>
                <w:sz w:val="24"/>
                <w:szCs w:val="24"/>
              </w:rPr>
              <w:t>Programme documentation</w:t>
            </w:r>
            <w:r w:rsidR="0059216F" w:rsidRPr="004307E5">
              <w:rPr>
                <w:noProof/>
                <w:webHidden/>
                <w:sz w:val="24"/>
                <w:szCs w:val="24"/>
              </w:rPr>
              <w:tab/>
            </w:r>
            <w:r w:rsidR="00961868">
              <w:rPr>
                <w:noProof/>
                <w:webHidden/>
                <w:sz w:val="24"/>
                <w:szCs w:val="24"/>
              </w:rPr>
              <w:t>13</w:t>
            </w:r>
          </w:hyperlink>
        </w:p>
        <w:p w14:paraId="1992F088" w14:textId="641B6BC5" w:rsidR="0059216F" w:rsidRPr="004307E5"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6" w:history="1">
            <w:r w:rsidR="0059216F" w:rsidRPr="004307E5">
              <w:rPr>
                <w:rStyle w:val="Hyperlink"/>
                <w:noProof/>
                <w:sz w:val="24"/>
                <w:szCs w:val="24"/>
              </w:rPr>
              <w:t>Outcomes of submitting a programme</w:t>
            </w:r>
            <w:r w:rsidR="0059216F" w:rsidRPr="004307E5">
              <w:rPr>
                <w:noProof/>
                <w:webHidden/>
                <w:sz w:val="24"/>
                <w:szCs w:val="24"/>
              </w:rPr>
              <w:tab/>
            </w:r>
            <w:r w:rsidR="00961868">
              <w:rPr>
                <w:noProof/>
                <w:webHidden/>
                <w:sz w:val="24"/>
                <w:szCs w:val="24"/>
              </w:rPr>
              <w:t>13</w:t>
            </w:r>
          </w:hyperlink>
        </w:p>
        <w:p w14:paraId="35224868" w14:textId="6512D6CA" w:rsidR="0059216F" w:rsidRPr="004307E5" w:rsidRDefault="00FF144C">
          <w:pPr>
            <w:pStyle w:val="TOC2"/>
            <w:tabs>
              <w:tab w:val="right" w:leader="dot" w:pos="9830"/>
            </w:tabs>
            <w:rPr>
              <w:rFonts w:asciiTheme="minorHAnsi" w:eastAsiaTheme="minorEastAsia" w:hAnsiTheme="minorHAnsi" w:cstheme="minorBidi"/>
              <w:noProof/>
              <w:sz w:val="24"/>
              <w:szCs w:val="24"/>
              <w:lang w:bidi="ar-SA"/>
            </w:rPr>
          </w:pPr>
          <w:hyperlink w:anchor="_Toc34395807" w:history="1">
            <w:r w:rsidR="0059216F" w:rsidRPr="004307E5">
              <w:rPr>
                <w:rStyle w:val="Hyperlink"/>
                <w:noProof/>
                <w:sz w:val="24"/>
                <w:szCs w:val="24"/>
              </w:rPr>
              <w:t>Maintaining accreditation</w:t>
            </w:r>
            <w:r w:rsidR="0059216F" w:rsidRPr="004307E5">
              <w:rPr>
                <w:noProof/>
                <w:webHidden/>
                <w:sz w:val="24"/>
                <w:szCs w:val="24"/>
              </w:rPr>
              <w:tab/>
            </w:r>
            <w:r w:rsidR="00961868">
              <w:rPr>
                <w:noProof/>
                <w:webHidden/>
                <w:sz w:val="24"/>
                <w:szCs w:val="24"/>
              </w:rPr>
              <w:t>14</w:t>
            </w:r>
          </w:hyperlink>
        </w:p>
        <w:p w14:paraId="087D5E7B" w14:textId="65FD74AE" w:rsidR="00792747" w:rsidRDefault="00792747">
          <w:r>
            <w:rPr>
              <w:b/>
              <w:bCs/>
              <w:noProof/>
            </w:rPr>
            <w:fldChar w:fldCharType="end"/>
          </w:r>
        </w:p>
      </w:sdtContent>
    </w:sdt>
    <w:p w14:paraId="7A0D13D5" w14:textId="55A72C50" w:rsidR="00395E62" w:rsidRPr="00395E62" w:rsidRDefault="002550D9" w:rsidP="002550D9">
      <w:pPr>
        <w:tabs>
          <w:tab w:val="left" w:pos="2430"/>
        </w:tabs>
      </w:pPr>
      <w:r>
        <w:tab/>
      </w:r>
    </w:p>
    <w:p w14:paraId="17F3DC34" w14:textId="77777777" w:rsidR="00395E62" w:rsidRPr="00395E62" w:rsidRDefault="00395E62" w:rsidP="00395E62"/>
    <w:p w14:paraId="27BD9956" w14:textId="77777777" w:rsidR="00395E62" w:rsidRPr="00395E62" w:rsidRDefault="00395E62" w:rsidP="00395E62"/>
    <w:p w14:paraId="679FD4D4" w14:textId="706E49EF" w:rsidR="00395E62" w:rsidRPr="00395E62" w:rsidRDefault="00A56661" w:rsidP="00A56661">
      <w:pPr>
        <w:tabs>
          <w:tab w:val="left" w:pos="2535"/>
        </w:tabs>
      </w:pPr>
      <w:r>
        <w:tab/>
      </w:r>
    </w:p>
    <w:p w14:paraId="6F77C375" w14:textId="77777777" w:rsidR="00395E62" w:rsidRPr="00395E62" w:rsidRDefault="00395E62" w:rsidP="00395E62"/>
    <w:p w14:paraId="00DE7CE6" w14:textId="77777777" w:rsidR="00395E62" w:rsidRPr="00395E62" w:rsidRDefault="00395E62" w:rsidP="00395E62"/>
    <w:p w14:paraId="013207F9" w14:textId="77777777" w:rsidR="00395E62" w:rsidRPr="00395E62" w:rsidRDefault="00395E62" w:rsidP="00395E62"/>
    <w:p w14:paraId="5C272B3A" w14:textId="77777777" w:rsidR="00395E62" w:rsidRPr="00395E62" w:rsidRDefault="00395E62" w:rsidP="00395E62"/>
    <w:p w14:paraId="42F8E4C2" w14:textId="77777777" w:rsidR="00395E62" w:rsidRPr="00395E62" w:rsidRDefault="00395E62" w:rsidP="00395E62"/>
    <w:p w14:paraId="44A5CD4A" w14:textId="77777777" w:rsidR="00395E62" w:rsidRPr="00395E62" w:rsidRDefault="00395E62" w:rsidP="00395E62"/>
    <w:p w14:paraId="2EC55669" w14:textId="77777777" w:rsidR="00395E62" w:rsidRPr="00395E62" w:rsidRDefault="00395E62" w:rsidP="00395E62"/>
    <w:p w14:paraId="2B754361" w14:textId="77777777" w:rsidR="00395E62" w:rsidRDefault="00395E62" w:rsidP="00395E62"/>
    <w:p w14:paraId="1067D975" w14:textId="24FA254A" w:rsidR="00395E62" w:rsidRPr="00395E62" w:rsidRDefault="00395E62" w:rsidP="00395E62">
      <w:pPr>
        <w:sectPr w:rsidR="00395E62" w:rsidRPr="00395E62" w:rsidSect="009A75AA">
          <w:headerReference w:type="even" r:id="rId18"/>
          <w:headerReference w:type="default" r:id="rId19"/>
          <w:footerReference w:type="default" r:id="rId20"/>
          <w:headerReference w:type="first" r:id="rId21"/>
          <w:footerReference w:type="first" r:id="rId22"/>
          <w:type w:val="continuous"/>
          <w:pgSz w:w="11900" w:h="16850"/>
          <w:pgMar w:top="1660" w:right="1040" w:bottom="1160" w:left="1020" w:header="720" w:footer="979" w:gutter="0"/>
          <w:pgNumType w:start="1"/>
          <w:cols w:space="720"/>
          <w:titlePg/>
          <w:docGrid w:linePitch="299"/>
        </w:sectPr>
      </w:pPr>
    </w:p>
    <w:p w14:paraId="7B0E26A1" w14:textId="77777777" w:rsidR="0012290E" w:rsidRDefault="0012290E">
      <w:pPr>
        <w:pStyle w:val="BodyText"/>
        <w:spacing w:before="5"/>
        <w:rPr>
          <w:sz w:val="14"/>
        </w:rPr>
      </w:pPr>
    </w:p>
    <w:p w14:paraId="68ECF97A" w14:textId="6F23D531" w:rsidR="0012290E" w:rsidRPr="005D6695" w:rsidRDefault="003B6355">
      <w:pPr>
        <w:pStyle w:val="Heading1"/>
        <w:rPr>
          <w:color w:val="003893"/>
          <w:sz w:val="28"/>
          <w:szCs w:val="28"/>
        </w:rPr>
      </w:pPr>
      <w:bookmarkStart w:id="2" w:name="_Toc34395791"/>
      <w:r w:rsidRPr="005D6695">
        <w:rPr>
          <w:color w:val="003893"/>
          <w:sz w:val="28"/>
          <w:szCs w:val="28"/>
        </w:rPr>
        <w:t>Section 1: Explanation of the S</w:t>
      </w:r>
      <w:r w:rsidR="005E0714" w:rsidRPr="005D6695">
        <w:rPr>
          <w:color w:val="003893"/>
          <w:sz w:val="28"/>
          <w:szCs w:val="28"/>
        </w:rPr>
        <w:t xml:space="preserve">tandards </w:t>
      </w:r>
      <w:r w:rsidR="005D5A37" w:rsidRPr="005D6695">
        <w:rPr>
          <w:color w:val="003893"/>
          <w:sz w:val="28"/>
          <w:szCs w:val="28"/>
        </w:rPr>
        <w:t xml:space="preserve">of </w:t>
      </w:r>
      <w:r w:rsidRPr="005D6695">
        <w:rPr>
          <w:color w:val="003893"/>
          <w:sz w:val="28"/>
          <w:szCs w:val="28"/>
        </w:rPr>
        <w:t>E</w:t>
      </w:r>
      <w:r w:rsidR="005D5A37" w:rsidRPr="005D6695">
        <w:rPr>
          <w:color w:val="003893"/>
          <w:sz w:val="28"/>
          <w:szCs w:val="28"/>
        </w:rPr>
        <w:t xml:space="preserve">ducation and </w:t>
      </w:r>
      <w:r w:rsidRPr="005D6695">
        <w:rPr>
          <w:color w:val="003893"/>
          <w:sz w:val="28"/>
          <w:szCs w:val="28"/>
        </w:rPr>
        <w:t>T</w:t>
      </w:r>
      <w:r w:rsidR="005D5A37" w:rsidRPr="005D6695">
        <w:rPr>
          <w:color w:val="003893"/>
          <w:sz w:val="28"/>
          <w:szCs w:val="28"/>
        </w:rPr>
        <w:t>raining (SET)</w:t>
      </w:r>
      <w:bookmarkEnd w:id="2"/>
    </w:p>
    <w:p w14:paraId="662BBB6C" w14:textId="77777777" w:rsidR="0012290E" w:rsidRDefault="0012290E">
      <w:pPr>
        <w:pStyle w:val="BodyText"/>
        <w:spacing w:before="1"/>
        <w:rPr>
          <w:b/>
          <w:sz w:val="29"/>
        </w:rPr>
      </w:pPr>
    </w:p>
    <w:p w14:paraId="36C212F9" w14:textId="77777777" w:rsidR="0012290E" w:rsidRPr="000F6C53" w:rsidRDefault="003B6355">
      <w:pPr>
        <w:pStyle w:val="Heading2"/>
        <w:rPr>
          <w:b/>
          <w:bCs/>
          <w:sz w:val="24"/>
          <w:szCs w:val="24"/>
        </w:rPr>
      </w:pPr>
      <w:bookmarkStart w:id="3" w:name="_Toc34395792"/>
      <w:r w:rsidRPr="000F6C53">
        <w:rPr>
          <w:b/>
          <w:bCs/>
          <w:sz w:val="24"/>
          <w:szCs w:val="24"/>
        </w:rPr>
        <w:t>Introduction</w:t>
      </w:r>
      <w:bookmarkEnd w:id="3"/>
    </w:p>
    <w:p w14:paraId="4E5EB425" w14:textId="4BF13E88" w:rsidR="0012290E" w:rsidRDefault="002438C3">
      <w:pPr>
        <w:pStyle w:val="BodyText"/>
        <w:spacing w:before="162" w:line="268" w:lineRule="auto"/>
        <w:ind w:left="122" w:right="663" w:hanging="10"/>
      </w:pPr>
      <w:r>
        <w:t xml:space="preserve">Health Education </w:t>
      </w:r>
      <w:r w:rsidR="00562826">
        <w:t>England’s Department</w:t>
      </w:r>
      <w:r w:rsidR="009C2E14">
        <w:t xml:space="preserve"> of Education and Quality</w:t>
      </w:r>
      <w:r>
        <w:t xml:space="preserve"> </w:t>
      </w:r>
      <w:r w:rsidR="00085528">
        <w:t xml:space="preserve">is </w:t>
      </w:r>
      <w:r w:rsidR="009D7451">
        <w:t>accrediting education</w:t>
      </w:r>
      <w:r w:rsidR="003B6355">
        <w:t xml:space="preserve"> programmes </w:t>
      </w:r>
      <w:r w:rsidR="008215D8">
        <w:t xml:space="preserve">delivered by providers </w:t>
      </w:r>
      <w:r w:rsidR="003B6355">
        <w:t>that</w:t>
      </w:r>
      <w:r w:rsidR="0091688D">
        <w:t>;</w:t>
      </w:r>
    </w:p>
    <w:p w14:paraId="2231D98B" w14:textId="00F8D1BC" w:rsidR="0012290E" w:rsidRDefault="003B6355">
      <w:pPr>
        <w:pStyle w:val="ListParagraph"/>
        <w:numPr>
          <w:ilvl w:val="0"/>
          <w:numId w:val="14"/>
        </w:numPr>
        <w:tabs>
          <w:tab w:val="left" w:pos="842"/>
          <w:tab w:val="left" w:pos="843"/>
        </w:tabs>
        <w:spacing w:before="115" w:line="259" w:lineRule="auto"/>
        <w:ind w:right="813"/>
        <w:rPr>
          <w:rFonts w:ascii="Calibri" w:hAnsi="Calibri"/>
          <w:sz w:val="16"/>
        </w:rPr>
      </w:pPr>
      <w:r>
        <w:rPr>
          <w:sz w:val="24"/>
        </w:rPr>
        <w:t xml:space="preserve">Enable learners to fulfil the capabilities set out in the </w:t>
      </w:r>
      <w:hyperlink r:id="rId23" w:history="1">
        <w:r w:rsidR="009D7451" w:rsidRPr="009D7451">
          <w:rPr>
            <w:rStyle w:val="Hyperlink"/>
            <w:sz w:val="24"/>
          </w:rPr>
          <w:t>Multi-professional framework for advanced clinical practice in England</w:t>
        </w:r>
      </w:hyperlink>
      <w:r w:rsidR="009D7451">
        <w:rPr>
          <w:sz w:val="24"/>
        </w:rPr>
        <w:t xml:space="preserve">.  </w:t>
      </w:r>
    </w:p>
    <w:p w14:paraId="6D7364C3" w14:textId="421A26FC" w:rsidR="0012290E" w:rsidRDefault="003B6355">
      <w:pPr>
        <w:pStyle w:val="ListParagraph"/>
        <w:numPr>
          <w:ilvl w:val="0"/>
          <w:numId w:val="14"/>
        </w:numPr>
        <w:tabs>
          <w:tab w:val="left" w:pos="842"/>
          <w:tab w:val="left" w:pos="843"/>
        </w:tabs>
        <w:spacing w:before="143" w:line="266" w:lineRule="auto"/>
        <w:ind w:right="959"/>
        <w:rPr>
          <w:sz w:val="24"/>
        </w:rPr>
      </w:pPr>
      <w:r>
        <w:rPr>
          <w:sz w:val="24"/>
        </w:rPr>
        <w:t xml:space="preserve">Demonstrate fulfilment of </w:t>
      </w:r>
      <w:r w:rsidR="009C2E14">
        <w:rPr>
          <w:sz w:val="24"/>
        </w:rPr>
        <w:t>T</w:t>
      </w:r>
      <w:r>
        <w:rPr>
          <w:sz w:val="24"/>
        </w:rPr>
        <w:t xml:space="preserve">he </w:t>
      </w:r>
      <w:r w:rsidR="007E01C9">
        <w:rPr>
          <w:sz w:val="24"/>
        </w:rPr>
        <w:t>Centre</w:t>
      </w:r>
      <w:r>
        <w:rPr>
          <w:sz w:val="24"/>
        </w:rPr>
        <w:t>’s Standards of Education &amp; Training (SET), as explained in this</w:t>
      </w:r>
      <w:r>
        <w:rPr>
          <w:spacing w:val="-3"/>
          <w:sz w:val="24"/>
        </w:rPr>
        <w:t xml:space="preserve"> </w:t>
      </w:r>
      <w:r>
        <w:rPr>
          <w:sz w:val="24"/>
        </w:rPr>
        <w:t>document.</w:t>
      </w:r>
    </w:p>
    <w:p w14:paraId="7EED80AD" w14:textId="3014F16B" w:rsidR="0012290E" w:rsidRDefault="003B6355">
      <w:pPr>
        <w:pStyle w:val="BodyText"/>
        <w:spacing w:before="116" w:line="268" w:lineRule="auto"/>
        <w:ind w:left="122" w:right="105"/>
      </w:pPr>
      <w:r>
        <w:t>The SET explain</w:t>
      </w:r>
      <w:r w:rsidR="00A01D8F">
        <w:t>s</w:t>
      </w:r>
      <w:r>
        <w:t xml:space="preserve"> the requirements for a programme to be accredited</w:t>
      </w:r>
      <w:r w:rsidR="009D7451">
        <w:t>.</w:t>
      </w:r>
      <w:r>
        <w:t xml:space="preserve">. They assert </w:t>
      </w:r>
      <w:r w:rsidR="009D7451">
        <w:t xml:space="preserve">HEE’s </w:t>
      </w:r>
      <w:r>
        <w:t>expectations</w:t>
      </w:r>
      <w:r w:rsidR="009D7451">
        <w:t xml:space="preserve"> </w:t>
      </w:r>
      <w:r>
        <w:t>of formal programmes of learning</w:t>
      </w:r>
      <w:r w:rsidR="00217BC4">
        <w:t>,</w:t>
      </w:r>
      <w:r>
        <w:t xml:space="preserve"> through which practitioners are supported to develop and demonstrate the A</w:t>
      </w:r>
      <w:r w:rsidR="00F35D54">
        <w:t>dvancing Practice</w:t>
      </w:r>
      <w:r>
        <w:t xml:space="preserve"> </w:t>
      </w:r>
      <w:r w:rsidRPr="00A97699">
        <w:t>capabilities.</w:t>
      </w:r>
    </w:p>
    <w:p w14:paraId="786E6627" w14:textId="77777777" w:rsidR="0012290E" w:rsidRDefault="0012290E">
      <w:pPr>
        <w:pStyle w:val="BodyText"/>
        <w:spacing w:before="1"/>
      </w:pPr>
    </w:p>
    <w:p w14:paraId="3E51E95E" w14:textId="601F04D3" w:rsidR="0012290E" w:rsidRDefault="009D7451">
      <w:pPr>
        <w:pStyle w:val="BodyText"/>
        <w:spacing w:before="1"/>
        <w:ind w:left="112" w:right="876"/>
      </w:pPr>
      <w:r>
        <w:t xml:space="preserve">Health Education England’s </w:t>
      </w:r>
      <w:r w:rsidR="003B6355">
        <w:t>process for considering education programmes for accreditation is enacted in line with its quality assurance principles and operating model. These are explained in a separate document</w:t>
      </w:r>
      <w:r w:rsidR="00B87946">
        <w:t xml:space="preserve"> (See Advancing Practice Website)</w:t>
      </w:r>
      <w:r w:rsidR="003B6355">
        <w:t>.</w:t>
      </w:r>
    </w:p>
    <w:p w14:paraId="67729715" w14:textId="77777777" w:rsidR="0012290E" w:rsidRDefault="0012290E">
      <w:pPr>
        <w:pStyle w:val="BodyText"/>
        <w:spacing w:before="9"/>
        <w:rPr>
          <w:sz w:val="23"/>
        </w:rPr>
      </w:pPr>
    </w:p>
    <w:p w14:paraId="321AFBF6" w14:textId="24A3FEDB" w:rsidR="0012290E" w:rsidRPr="006D7D37" w:rsidRDefault="003B6355" w:rsidP="00021167">
      <w:pPr>
        <w:pStyle w:val="BodyText"/>
        <w:spacing w:line="268" w:lineRule="auto"/>
        <w:ind w:left="112"/>
      </w:pPr>
      <w:r w:rsidRPr="006D7D37">
        <w:t>Education</w:t>
      </w:r>
      <w:r w:rsidRPr="006D7D37">
        <w:rPr>
          <w:spacing w:val="-17"/>
        </w:rPr>
        <w:t xml:space="preserve"> </w:t>
      </w:r>
      <w:r w:rsidRPr="006D7D37">
        <w:t>providers</w:t>
      </w:r>
      <w:r w:rsidRPr="006D7D37">
        <w:rPr>
          <w:spacing w:val="-17"/>
        </w:rPr>
        <w:t xml:space="preserve"> </w:t>
      </w:r>
      <w:r w:rsidR="00EA1616" w:rsidRPr="006D7D37">
        <w:t>will</w:t>
      </w:r>
      <w:r w:rsidRPr="006D7D37">
        <w:rPr>
          <w:spacing w:val="-15"/>
        </w:rPr>
        <w:t xml:space="preserve"> </w:t>
      </w:r>
      <w:r w:rsidRPr="006D7D37">
        <w:t>complete</w:t>
      </w:r>
      <w:r w:rsidRPr="006D7D37">
        <w:rPr>
          <w:spacing w:val="-17"/>
        </w:rPr>
        <w:t xml:space="preserve"> </w:t>
      </w:r>
      <w:r w:rsidRPr="006D7D37">
        <w:t>self-assessment</w:t>
      </w:r>
      <w:r w:rsidRPr="006D7D37">
        <w:rPr>
          <w:spacing w:val="-17"/>
        </w:rPr>
        <w:t xml:space="preserve"> </w:t>
      </w:r>
      <w:r w:rsidRPr="006D7D37">
        <w:t>document</w:t>
      </w:r>
      <w:r w:rsidR="001F4AD6" w:rsidRPr="006D7D37">
        <w:t>s</w:t>
      </w:r>
      <w:r w:rsidRPr="006D7D37">
        <w:rPr>
          <w:spacing w:val="-17"/>
        </w:rPr>
        <w:t xml:space="preserve"> </w:t>
      </w:r>
      <w:r w:rsidRPr="006D7D37">
        <w:t>(SAD)</w:t>
      </w:r>
      <w:r w:rsidRPr="006D7D37">
        <w:rPr>
          <w:spacing w:val="-18"/>
        </w:rPr>
        <w:t xml:space="preserve"> </w:t>
      </w:r>
      <w:r w:rsidR="003E567D" w:rsidRPr="00021167">
        <w:rPr>
          <w:spacing w:val="-18"/>
        </w:rPr>
        <w:t xml:space="preserve">as part of the process </w:t>
      </w:r>
      <w:r w:rsidR="00B3254E" w:rsidRPr="00021167">
        <w:rPr>
          <w:spacing w:val="-18"/>
        </w:rPr>
        <w:t xml:space="preserve">of </w:t>
      </w:r>
      <w:r w:rsidR="00B3254E" w:rsidRPr="00021167">
        <w:rPr>
          <w:spacing w:val="-15"/>
        </w:rPr>
        <w:t>seeking</w:t>
      </w:r>
      <w:r w:rsidR="00EE1512" w:rsidRPr="006D7D37">
        <w:rPr>
          <w:spacing w:val="-18"/>
        </w:rPr>
        <w:t xml:space="preserve"> </w:t>
      </w:r>
      <w:r w:rsidRPr="006D7D37">
        <w:t>accreditation.</w:t>
      </w:r>
      <w:r w:rsidRPr="006D7D37">
        <w:rPr>
          <w:spacing w:val="-8"/>
        </w:rPr>
        <w:t xml:space="preserve"> </w:t>
      </w:r>
      <w:r w:rsidR="003650EE" w:rsidRPr="006D7D37">
        <w:t>Education</w:t>
      </w:r>
      <w:r w:rsidR="003650EE" w:rsidRPr="006D7D37">
        <w:rPr>
          <w:spacing w:val="-17"/>
        </w:rPr>
        <w:t xml:space="preserve"> </w:t>
      </w:r>
      <w:r w:rsidR="003650EE" w:rsidRPr="006D7D37">
        <w:t>providers</w:t>
      </w:r>
      <w:r w:rsidR="003650EE" w:rsidRPr="006D7D37">
        <w:rPr>
          <w:spacing w:val="-17"/>
        </w:rPr>
        <w:t xml:space="preserve"> </w:t>
      </w:r>
      <w:r w:rsidRPr="006D7D37">
        <w:t>are</w:t>
      </w:r>
      <w:r w:rsidRPr="006D7D37">
        <w:rPr>
          <w:spacing w:val="-7"/>
        </w:rPr>
        <w:t xml:space="preserve"> </w:t>
      </w:r>
      <w:r w:rsidRPr="006D7D37">
        <w:t>encouraged</w:t>
      </w:r>
      <w:r w:rsidRPr="006D7D37">
        <w:rPr>
          <w:spacing w:val="-8"/>
        </w:rPr>
        <w:t xml:space="preserve"> </w:t>
      </w:r>
      <w:r w:rsidRPr="006D7D37">
        <w:t>to</w:t>
      </w:r>
      <w:r w:rsidRPr="006D7D37">
        <w:rPr>
          <w:spacing w:val="-6"/>
        </w:rPr>
        <w:t xml:space="preserve"> </w:t>
      </w:r>
      <w:r w:rsidRPr="006D7D37">
        <w:t>demonstrate</w:t>
      </w:r>
      <w:r w:rsidRPr="006D7D37">
        <w:rPr>
          <w:spacing w:val="-8"/>
        </w:rPr>
        <w:t xml:space="preserve"> </w:t>
      </w:r>
      <w:r w:rsidRPr="006D7D37">
        <w:t>fulfilment</w:t>
      </w:r>
      <w:r w:rsidRPr="006D7D37">
        <w:rPr>
          <w:spacing w:val="-6"/>
        </w:rPr>
        <w:t xml:space="preserve"> </w:t>
      </w:r>
      <w:r w:rsidRPr="006D7D37">
        <w:t>of</w:t>
      </w:r>
      <w:r w:rsidRPr="006D7D37">
        <w:rPr>
          <w:spacing w:val="-7"/>
        </w:rPr>
        <w:t xml:space="preserve"> </w:t>
      </w:r>
      <w:r w:rsidRPr="006D7D37">
        <w:t>the</w:t>
      </w:r>
      <w:r w:rsidRPr="006D7D37">
        <w:rPr>
          <w:spacing w:val="-9"/>
        </w:rPr>
        <w:t xml:space="preserve"> </w:t>
      </w:r>
      <w:r w:rsidRPr="006D7D37">
        <w:t>SET</w:t>
      </w:r>
      <w:r w:rsidRPr="006D7D37">
        <w:rPr>
          <w:spacing w:val="-7"/>
        </w:rPr>
        <w:t xml:space="preserve"> </w:t>
      </w:r>
      <w:r w:rsidRPr="006D7D37">
        <w:t xml:space="preserve">using documentation that they produce </w:t>
      </w:r>
      <w:r w:rsidR="00803C74" w:rsidRPr="006D7D37">
        <w:t xml:space="preserve">that </w:t>
      </w:r>
      <w:r w:rsidRPr="006D7D37">
        <w:t>mee</w:t>
      </w:r>
      <w:r w:rsidR="00803C74" w:rsidRPr="006D7D37">
        <w:t>ts</w:t>
      </w:r>
      <w:r w:rsidRPr="006D7D37">
        <w:t xml:space="preserve"> their own institution’s validation requirements and broader purposes. This can be done through appending existing documents and mapping them to the SET</w:t>
      </w:r>
      <w:r w:rsidR="001F4AD6" w:rsidRPr="006D7D37">
        <w:t>/A</w:t>
      </w:r>
      <w:r w:rsidR="00F35D54" w:rsidRPr="006D7D37">
        <w:t>dvancing Practice</w:t>
      </w:r>
      <w:r w:rsidR="001F4AD6" w:rsidRPr="006D7D37">
        <w:t xml:space="preserve"> Framework</w:t>
      </w:r>
      <w:r w:rsidRPr="006D7D37">
        <w:t xml:space="preserve"> within the SAD</w:t>
      </w:r>
      <w:r w:rsidR="00253860" w:rsidRPr="006D7D37">
        <w:t>s</w:t>
      </w:r>
      <w:r w:rsidRPr="006D7D37">
        <w:t xml:space="preserve"> through appropriate cross- referencing and</w:t>
      </w:r>
      <w:r w:rsidRPr="006D7D37">
        <w:rPr>
          <w:spacing w:val="-2"/>
        </w:rPr>
        <w:t xml:space="preserve"> </w:t>
      </w:r>
      <w:r w:rsidRPr="006D7D37">
        <w:t>annotation.</w:t>
      </w:r>
      <w:r w:rsidR="0049762E" w:rsidRPr="006D7D37">
        <w:t xml:space="preserve"> </w:t>
      </w:r>
      <w:r w:rsidR="00803C74" w:rsidRPr="006D7D37">
        <w:t>The</w:t>
      </w:r>
      <w:r w:rsidR="0049762E" w:rsidRPr="006D7D37">
        <w:t xml:space="preserve"> intention is to not be prescriptive in relation to the evidence that can be utilised</w:t>
      </w:r>
      <w:r w:rsidR="00253860" w:rsidRPr="006D7D37">
        <w:t xml:space="preserve"> although suggestions are made in the SADs.</w:t>
      </w:r>
    </w:p>
    <w:p w14:paraId="5040E575" w14:textId="77777777" w:rsidR="0012290E" w:rsidRDefault="0012290E">
      <w:pPr>
        <w:pStyle w:val="BodyText"/>
        <w:spacing w:before="3"/>
      </w:pPr>
    </w:p>
    <w:p w14:paraId="64AF9238" w14:textId="39C73D13" w:rsidR="0012290E" w:rsidRDefault="003B6355">
      <w:pPr>
        <w:pStyle w:val="BodyText"/>
        <w:spacing w:line="264" w:lineRule="auto"/>
        <w:ind w:left="112" w:right="477"/>
      </w:pPr>
      <w:r>
        <w:t xml:space="preserve">Practitioners who successfully complete </w:t>
      </w:r>
      <w:r w:rsidR="009D7451">
        <w:t>an HEE</w:t>
      </w:r>
      <w:r>
        <w:t xml:space="preserve">-accredited education programme are </w:t>
      </w:r>
      <w:r w:rsidR="004520B2">
        <w:t xml:space="preserve">subsequently </w:t>
      </w:r>
      <w:r>
        <w:t>eligible for recognition</w:t>
      </w:r>
      <w:r w:rsidR="00B87946">
        <w:t xml:space="preserve"> (see glossary)</w:t>
      </w:r>
      <w:r w:rsidR="0066705E">
        <w:t xml:space="preserve">. </w:t>
      </w:r>
      <w:r w:rsidR="00504A49">
        <w:t xml:space="preserve"> </w:t>
      </w:r>
      <w:r w:rsidR="0066705E">
        <w:t>This</w:t>
      </w:r>
      <w:r w:rsidR="00504A49">
        <w:t xml:space="preserve"> </w:t>
      </w:r>
      <w:r w:rsidR="000E0FB2">
        <w:t xml:space="preserve">will enable individuals to evidence that they have been successfully recognised by </w:t>
      </w:r>
      <w:r w:rsidR="009D7451">
        <w:t xml:space="preserve">HEE </w:t>
      </w:r>
      <w:r w:rsidR="00E953CD">
        <w:t>as having completed an accredited A</w:t>
      </w:r>
      <w:r w:rsidR="00F35D54">
        <w:t>dvancing Practice</w:t>
      </w:r>
      <w:r w:rsidR="00E953CD">
        <w:t xml:space="preserve"> programme. </w:t>
      </w:r>
      <w:r w:rsidR="009D7451">
        <w:t xml:space="preserve">HEE </w:t>
      </w:r>
      <w:r w:rsidR="00E953CD">
        <w:t>will record names of individuals provide</w:t>
      </w:r>
      <w:r w:rsidR="00C15420">
        <w:t>d</w:t>
      </w:r>
      <w:r w:rsidR="00E953CD">
        <w:t xml:space="preserve"> by the </w:t>
      </w:r>
      <w:r w:rsidR="009D7451">
        <w:t>e</w:t>
      </w:r>
      <w:r w:rsidR="00EB18B2">
        <w:t xml:space="preserve">ducation </w:t>
      </w:r>
      <w:r w:rsidR="009D7451">
        <w:t>p</w:t>
      </w:r>
      <w:r w:rsidR="00EB18B2">
        <w:t>rovider (with the individual’s consent)</w:t>
      </w:r>
      <w:r w:rsidR="00FE4ABE">
        <w:t xml:space="preserve"> and will provide individuals with </w:t>
      </w:r>
      <w:r w:rsidR="001F4AD6">
        <w:t xml:space="preserve">written </w:t>
      </w:r>
      <w:r w:rsidR="00AD3EDF">
        <w:t>evidence that they have successfully completed an accredited programme of study.</w:t>
      </w:r>
      <w:r w:rsidR="00B87946">
        <w:t xml:space="preserve"> </w:t>
      </w:r>
    </w:p>
    <w:p w14:paraId="3E894A95" w14:textId="2E7A41DC" w:rsidR="0012290E" w:rsidRDefault="00A56661" w:rsidP="00A56661">
      <w:pPr>
        <w:pStyle w:val="BodyText"/>
        <w:tabs>
          <w:tab w:val="left" w:pos="2445"/>
        </w:tabs>
        <w:rPr>
          <w:sz w:val="28"/>
        </w:rPr>
      </w:pPr>
      <w:r>
        <w:rPr>
          <w:sz w:val="28"/>
        </w:rPr>
        <w:tab/>
      </w:r>
    </w:p>
    <w:p w14:paraId="33FF009C" w14:textId="77777777" w:rsidR="0012290E" w:rsidRDefault="0012290E">
      <w:pPr>
        <w:pStyle w:val="BodyText"/>
        <w:spacing w:before="1"/>
      </w:pPr>
    </w:p>
    <w:p w14:paraId="58C72947" w14:textId="293F46C8" w:rsidR="0012290E" w:rsidRPr="000F6C53" w:rsidRDefault="003B6355">
      <w:pPr>
        <w:pStyle w:val="Heading2"/>
        <w:rPr>
          <w:b/>
          <w:bCs/>
          <w:sz w:val="24"/>
          <w:szCs w:val="24"/>
        </w:rPr>
      </w:pPr>
      <w:bookmarkStart w:id="4" w:name="_Toc34395793"/>
      <w:r w:rsidRPr="000F6C53">
        <w:rPr>
          <w:b/>
          <w:bCs/>
          <w:sz w:val="24"/>
          <w:szCs w:val="24"/>
        </w:rPr>
        <w:t>Threshold requirements</w:t>
      </w:r>
      <w:bookmarkEnd w:id="4"/>
    </w:p>
    <w:p w14:paraId="6B876301" w14:textId="3E4AA7FA" w:rsidR="0012290E" w:rsidRDefault="003B6355">
      <w:pPr>
        <w:pStyle w:val="BodyText"/>
        <w:spacing w:before="162" w:line="268" w:lineRule="auto"/>
        <w:ind w:left="112" w:right="810"/>
      </w:pPr>
      <w:r>
        <w:t>The threshold requirements for considering an education programme for accreditation are set out below.</w:t>
      </w:r>
    </w:p>
    <w:p w14:paraId="1F30A99A" w14:textId="144CEC1D" w:rsidR="0012290E" w:rsidRPr="005E2F2B" w:rsidRDefault="003B6355" w:rsidP="005E2F2B">
      <w:pPr>
        <w:pStyle w:val="ListParagraph"/>
        <w:numPr>
          <w:ilvl w:val="0"/>
          <w:numId w:val="15"/>
        </w:numPr>
        <w:tabs>
          <w:tab w:val="left" w:pos="834"/>
        </w:tabs>
        <w:spacing w:before="114" w:line="268" w:lineRule="auto"/>
        <w:ind w:right="554"/>
        <w:rPr>
          <w:sz w:val="24"/>
        </w:rPr>
      </w:pPr>
      <w:r w:rsidRPr="005E2F2B">
        <w:rPr>
          <w:sz w:val="24"/>
        </w:rPr>
        <w:t>Th</w:t>
      </w:r>
      <w:r w:rsidR="00EA5400">
        <w:rPr>
          <w:sz w:val="24"/>
        </w:rPr>
        <w:t xml:space="preserve">e programme </w:t>
      </w:r>
      <w:r w:rsidR="00EE1512" w:rsidRPr="005E2F2B">
        <w:rPr>
          <w:sz w:val="24"/>
        </w:rPr>
        <w:t xml:space="preserve">is an existing </w:t>
      </w:r>
      <w:r w:rsidR="00655EEC">
        <w:rPr>
          <w:sz w:val="24"/>
        </w:rPr>
        <w:t>A</w:t>
      </w:r>
      <w:r w:rsidR="00F35D54">
        <w:rPr>
          <w:sz w:val="24"/>
        </w:rPr>
        <w:t xml:space="preserve">dvancing </w:t>
      </w:r>
      <w:r w:rsidR="00655EEC">
        <w:rPr>
          <w:sz w:val="24"/>
        </w:rPr>
        <w:t>P</w:t>
      </w:r>
      <w:r w:rsidR="00F35D54">
        <w:rPr>
          <w:sz w:val="24"/>
        </w:rPr>
        <w:t>ractice</w:t>
      </w:r>
      <w:r w:rsidR="00655EEC">
        <w:rPr>
          <w:sz w:val="24"/>
        </w:rPr>
        <w:t xml:space="preserve"> </w:t>
      </w:r>
      <w:r w:rsidR="00EE1512" w:rsidRPr="005E2F2B">
        <w:rPr>
          <w:sz w:val="24"/>
        </w:rPr>
        <w:t>programme.</w:t>
      </w:r>
    </w:p>
    <w:p w14:paraId="26A29966" w14:textId="77777777" w:rsidR="0012290E" w:rsidRDefault="0012290E">
      <w:pPr>
        <w:pStyle w:val="BodyText"/>
        <w:spacing w:before="3"/>
        <w:rPr>
          <w:rFonts w:ascii="Calibri"/>
          <w:sz w:val="13"/>
        </w:rPr>
      </w:pPr>
    </w:p>
    <w:p w14:paraId="0F941015" w14:textId="511B0613" w:rsidR="00EE1512" w:rsidRPr="005E2F2B" w:rsidRDefault="00EE1512" w:rsidP="005E2F2B">
      <w:pPr>
        <w:pStyle w:val="ListParagraph"/>
        <w:numPr>
          <w:ilvl w:val="0"/>
          <w:numId w:val="15"/>
        </w:numPr>
        <w:tabs>
          <w:tab w:val="left" w:pos="834"/>
        </w:tabs>
        <w:spacing w:before="66" w:line="268" w:lineRule="auto"/>
        <w:ind w:right="1252"/>
        <w:rPr>
          <w:sz w:val="24"/>
        </w:rPr>
      </w:pPr>
      <w:r w:rsidRPr="005E2F2B">
        <w:rPr>
          <w:sz w:val="24"/>
        </w:rPr>
        <w:t xml:space="preserve">The programme </w:t>
      </w:r>
      <w:r w:rsidR="000D4DCF">
        <w:rPr>
          <w:sz w:val="24"/>
        </w:rPr>
        <w:t>is</w:t>
      </w:r>
      <w:r w:rsidRPr="005E2F2B">
        <w:rPr>
          <w:sz w:val="24"/>
        </w:rPr>
        <w:t xml:space="preserve"> </w:t>
      </w:r>
      <w:r w:rsidR="00992A75">
        <w:rPr>
          <w:sz w:val="24"/>
        </w:rPr>
        <w:t xml:space="preserve">currently </w:t>
      </w:r>
      <w:r w:rsidRPr="005E2F2B">
        <w:rPr>
          <w:sz w:val="24"/>
        </w:rPr>
        <w:t xml:space="preserve">validated by a higher education </w:t>
      </w:r>
      <w:r w:rsidRPr="005E2F2B">
        <w:rPr>
          <w:sz w:val="24"/>
        </w:rPr>
        <w:lastRenderedPageBreak/>
        <w:t>institution</w:t>
      </w:r>
      <w:r w:rsidR="004C6077">
        <w:rPr>
          <w:sz w:val="24"/>
        </w:rPr>
        <w:t xml:space="preserve"> (HEI)</w:t>
      </w:r>
      <w:r w:rsidRPr="005E2F2B">
        <w:rPr>
          <w:sz w:val="24"/>
        </w:rPr>
        <w:t xml:space="preserve"> </w:t>
      </w:r>
      <w:r w:rsidR="0010395E">
        <w:rPr>
          <w:sz w:val="24"/>
        </w:rPr>
        <w:t xml:space="preserve">and full programme specification is </w:t>
      </w:r>
      <w:r w:rsidR="00992A75">
        <w:rPr>
          <w:sz w:val="24"/>
        </w:rPr>
        <w:t xml:space="preserve">submitted </w:t>
      </w:r>
      <w:r w:rsidR="00725BEB">
        <w:rPr>
          <w:sz w:val="24"/>
        </w:rPr>
        <w:t xml:space="preserve">(if the </w:t>
      </w:r>
      <w:r w:rsidR="000D4DCF">
        <w:rPr>
          <w:sz w:val="24"/>
        </w:rPr>
        <w:t xml:space="preserve">programme </w:t>
      </w:r>
      <w:r w:rsidR="00725BEB" w:rsidRPr="005E2F2B">
        <w:rPr>
          <w:sz w:val="24"/>
        </w:rPr>
        <w:t>is being taken through an HEI validation process at the same time as being considered for accreditation</w:t>
      </w:r>
      <w:r w:rsidR="00D6343D">
        <w:rPr>
          <w:sz w:val="24"/>
        </w:rPr>
        <w:t>, this may preclude t</w:t>
      </w:r>
      <w:r w:rsidR="00992A75">
        <w:rPr>
          <w:sz w:val="24"/>
        </w:rPr>
        <w:t xml:space="preserve">he submission of a full set </w:t>
      </w:r>
      <w:r w:rsidR="000A1B6B">
        <w:rPr>
          <w:sz w:val="24"/>
        </w:rPr>
        <w:t>docum</w:t>
      </w:r>
      <w:r w:rsidR="004D4E6E">
        <w:rPr>
          <w:sz w:val="24"/>
        </w:rPr>
        <w:t>entation until the process is complete</w:t>
      </w:r>
      <w:r w:rsidR="00725BEB" w:rsidRPr="005E2F2B">
        <w:rPr>
          <w:sz w:val="24"/>
        </w:rPr>
        <w:t>)</w:t>
      </w:r>
      <w:r w:rsidR="0059216F">
        <w:rPr>
          <w:sz w:val="24"/>
        </w:rPr>
        <w:t>.</w:t>
      </w:r>
    </w:p>
    <w:p w14:paraId="25EDC214" w14:textId="683567A6" w:rsidR="0012290E" w:rsidRPr="005E2F2B" w:rsidRDefault="003B6355" w:rsidP="005E2F2B">
      <w:pPr>
        <w:pStyle w:val="ListParagraph"/>
        <w:numPr>
          <w:ilvl w:val="0"/>
          <w:numId w:val="15"/>
        </w:numPr>
        <w:tabs>
          <w:tab w:val="left" w:pos="834"/>
        </w:tabs>
        <w:spacing w:before="66" w:line="268" w:lineRule="auto"/>
        <w:ind w:right="1252"/>
        <w:rPr>
          <w:sz w:val="24"/>
        </w:rPr>
      </w:pPr>
      <w:r w:rsidRPr="005E2F2B">
        <w:rPr>
          <w:sz w:val="24"/>
        </w:rPr>
        <w:t>The programme is at level 7 (in line with the A</w:t>
      </w:r>
      <w:r w:rsidR="00044556">
        <w:rPr>
          <w:sz w:val="24"/>
        </w:rPr>
        <w:t xml:space="preserve">dvancing </w:t>
      </w:r>
      <w:r w:rsidRPr="005E2F2B">
        <w:rPr>
          <w:sz w:val="24"/>
        </w:rPr>
        <w:t>P</w:t>
      </w:r>
      <w:r w:rsidR="00044556">
        <w:rPr>
          <w:sz w:val="24"/>
        </w:rPr>
        <w:t>ractice</w:t>
      </w:r>
      <w:r w:rsidRPr="005E2F2B">
        <w:rPr>
          <w:sz w:val="24"/>
        </w:rPr>
        <w:t xml:space="preserve"> capabilities) and leads to a postgraduate</w:t>
      </w:r>
      <w:r w:rsidRPr="005E2F2B">
        <w:rPr>
          <w:spacing w:val="-2"/>
          <w:sz w:val="24"/>
        </w:rPr>
        <w:t xml:space="preserve"> </w:t>
      </w:r>
      <w:r w:rsidRPr="005E2F2B">
        <w:rPr>
          <w:sz w:val="24"/>
        </w:rPr>
        <w:t>award</w:t>
      </w:r>
      <w:r w:rsidR="004D4E6E">
        <w:rPr>
          <w:sz w:val="24"/>
        </w:rPr>
        <w:t xml:space="preserve">, normally a full MSc </w:t>
      </w:r>
      <w:r w:rsidR="006E7DE8">
        <w:rPr>
          <w:sz w:val="24"/>
        </w:rPr>
        <w:t>(Master of Science)</w:t>
      </w:r>
      <w:r w:rsidR="0059216F">
        <w:rPr>
          <w:sz w:val="24"/>
        </w:rPr>
        <w:t>.</w:t>
      </w:r>
    </w:p>
    <w:p w14:paraId="4530BF00" w14:textId="29E825B5" w:rsidR="005E2F2B" w:rsidRDefault="00CF1B95" w:rsidP="005E2F2B">
      <w:pPr>
        <w:pStyle w:val="ListParagraph"/>
        <w:numPr>
          <w:ilvl w:val="0"/>
          <w:numId w:val="15"/>
        </w:numPr>
        <w:tabs>
          <w:tab w:val="left" w:pos="834"/>
        </w:tabs>
        <w:spacing w:before="72" w:line="268" w:lineRule="auto"/>
        <w:ind w:right="690"/>
        <w:rPr>
          <w:sz w:val="24"/>
        </w:rPr>
      </w:pPr>
      <w:r>
        <w:rPr>
          <w:sz w:val="24"/>
        </w:rPr>
        <w:t>There is a completed mapping document of the A</w:t>
      </w:r>
      <w:r w:rsidR="00044556">
        <w:rPr>
          <w:sz w:val="24"/>
        </w:rPr>
        <w:t xml:space="preserve">dvancing </w:t>
      </w:r>
      <w:r>
        <w:rPr>
          <w:sz w:val="24"/>
        </w:rPr>
        <w:t>P</w:t>
      </w:r>
      <w:r w:rsidR="00044556">
        <w:rPr>
          <w:sz w:val="24"/>
        </w:rPr>
        <w:t>ractice</w:t>
      </w:r>
      <w:r>
        <w:rPr>
          <w:sz w:val="24"/>
        </w:rPr>
        <w:t xml:space="preserve"> Framework (capabilities) and the SET to specific programme components i.e. modules and assessments</w:t>
      </w:r>
      <w:r w:rsidR="0059216F">
        <w:rPr>
          <w:sz w:val="24"/>
        </w:rPr>
        <w:t>.</w:t>
      </w:r>
    </w:p>
    <w:p w14:paraId="2E4AC99A" w14:textId="77777777" w:rsidR="00B34C16" w:rsidRDefault="0059216F" w:rsidP="00B34C16">
      <w:pPr>
        <w:pStyle w:val="ListParagraph"/>
        <w:numPr>
          <w:ilvl w:val="0"/>
          <w:numId w:val="15"/>
        </w:numPr>
        <w:tabs>
          <w:tab w:val="left" w:pos="834"/>
        </w:tabs>
        <w:spacing w:before="72" w:line="268" w:lineRule="auto"/>
        <w:ind w:right="690"/>
        <w:rPr>
          <w:sz w:val="24"/>
        </w:rPr>
      </w:pPr>
      <w:r>
        <w:rPr>
          <w:sz w:val="24"/>
        </w:rPr>
        <w:t>If the programme includes any element that requires external validation/approval</w:t>
      </w:r>
      <w:r w:rsidR="001F4AD6">
        <w:rPr>
          <w:sz w:val="24"/>
        </w:rPr>
        <w:t>,</w:t>
      </w:r>
      <w:r>
        <w:rPr>
          <w:sz w:val="24"/>
        </w:rPr>
        <w:t xml:space="preserve"> such as independent prescribing</w:t>
      </w:r>
      <w:r w:rsidR="001F4AD6">
        <w:rPr>
          <w:sz w:val="24"/>
        </w:rPr>
        <w:t>,</w:t>
      </w:r>
      <w:r>
        <w:rPr>
          <w:sz w:val="24"/>
        </w:rPr>
        <w:t xml:space="preserve"> this </w:t>
      </w:r>
      <w:r w:rsidR="00476D3C" w:rsidRPr="00097A18">
        <w:rPr>
          <w:b/>
          <w:bCs/>
          <w:sz w:val="24"/>
        </w:rPr>
        <w:t>must</w:t>
      </w:r>
      <w:r>
        <w:rPr>
          <w:sz w:val="24"/>
        </w:rPr>
        <w:t xml:space="preserve"> be evidenced.</w:t>
      </w:r>
    </w:p>
    <w:p w14:paraId="304F212E" w14:textId="767C6765" w:rsidR="0012290E" w:rsidRPr="00B34C16" w:rsidRDefault="00B34C16" w:rsidP="00B34C16">
      <w:pPr>
        <w:pStyle w:val="ListParagraph"/>
        <w:numPr>
          <w:ilvl w:val="0"/>
          <w:numId w:val="15"/>
        </w:numPr>
        <w:tabs>
          <w:tab w:val="left" w:pos="834"/>
        </w:tabs>
        <w:spacing w:before="72" w:line="268" w:lineRule="auto"/>
        <w:ind w:right="690"/>
        <w:rPr>
          <w:sz w:val="24"/>
          <w:szCs w:val="24"/>
        </w:rPr>
      </w:pPr>
      <w:r w:rsidRPr="00B34C16">
        <w:rPr>
          <w:sz w:val="24"/>
          <w:szCs w:val="24"/>
        </w:rPr>
        <w:t>Local Office Advanced Practice Lead made aware of submission and indicates support for the programme.</w:t>
      </w:r>
    </w:p>
    <w:p w14:paraId="1D977C70" w14:textId="69E443C3" w:rsidR="00B34C16" w:rsidRPr="00B34C16" w:rsidRDefault="00B34C16" w:rsidP="00B34C16">
      <w:pPr>
        <w:pStyle w:val="ListParagraph"/>
        <w:numPr>
          <w:ilvl w:val="0"/>
          <w:numId w:val="15"/>
        </w:numPr>
        <w:tabs>
          <w:tab w:val="left" w:pos="834"/>
        </w:tabs>
        <w:spacing w:before="72" w:line="268" w:lineRule="auto"/>
        <w:ind w:right="690"/>
        <w:rPr>
          <w:sz w:val="24"/>
          <w:szCs w:val="24"/>
        </w:rPr>
      </w:pPr>
      <w:r w:rsidRPr="00B34C16">
        <w:rPr>
          <w:rFonts w:eastAsia="Times New Roman"/>
          <w:sz w:val="24"/>
          <w:szCs w:val="24"/>
        </w:rPr>
        <w:t>Regional Quality Team made aware of submission and confirms if there are any educational quality issues with the programme, if an education improvement plan is in place or if they have any other concerns regarding the quality of the programme.</w:t>
      </w:r>
    </w:p>
    <w:p w14:paraId="18B43E84" w14:textId="0112FCF5" w:rsidR="00B34C16" w:rsidRDefault="00B34C16" w:rsidP="00B34C16">
      <w:pPr>
        <w:tabs>
          <w:tab w:val="left" w:pos="834"/>
        </w:tabs>
        <w:spacing w:before="72" w:line="268" w:lineRule="auto"/>
        <w:ind w:right="690"/>
        <w:rPr>
          <w:sz w:val="24"/>
        </w:rPr>
      </w:pPr>
    </w:p>
    <w:p w14:paraId="507EEDF0" w14:textId="77777777" w:rsidR="00B34C16" w:rsidRPr="00B34C16" w:rsidRDefault="00B34C16" w:rsidP="00B34C16">
      <w:pPr>
        <w:tabs>
          <w:tab w:val="left" w:pos="834"/>
        </w:tabs>
        <w:spacing w:before="72" w:line="268" w:lineRule="auto"/>
        <w:ind w:right="690"/>
        <w:rPr>
          <w:sz w:val="24"/>
        </w:rPr>
      </w:pPr>
    </w:p>
    <w:p w14:paraId="66B8A8F7" w14:textId="64050861" w:rsidR="0012290E" w:rsidRPr="000F6C53" w:rsidRDefault="006636A6">
      <w:pPr>
        <w:pStyle w:val="Heading2"/>
        <w:rPr>
          <w:b/>
          <w:bCs/>
          <w:sz w:val="24"/>
          <w:szCs w:val="24"/>
        </w:rPr>
      </w:pPr>
      <w:bookmarkStart w:id="5" w:name="_Toc34395794"/>
      <w:r w:rsidRPr="000F6C53">
        <w:rPr>
          <w:b/>
          <w:bCs/>
          <w:sz w:val="24"/>
          <w:szCs w:val="24"/>
        </w:rPr>
        <w:t>SET</w:t>
      </w:r>
      <w:r w:rsidR="003B6355" w:rsidRPr="000F6C53">
        <w:rPr>
          <w:b/>
          <w:bCs/>
          <w:sz w:val="24"/>
          <w:szCs w:val="24"/>
        </w:rPr>
        <w:t xml:space="preserve"> domains</w:t>
      </w:r>
      <w:bookmarkEnd w:id="5"/>
    </w:p>
    <w:p w14:paraId="553701F7" w14:textId="3D2DFD51" w:rsidR="0012290E" w:rsidRDefault="003B6355">
      <w:pPr>
        <w:pStyle w:val="BodyText"/>
        <w:spacing w:before="160" w:line="268" w:lineRule="auto"/>
        <w:ind w:left="112" w:right="105"/>
      </w:pPr>
      <w:r>
        <w:t xml:space="preserve">The </w:t>
      </w:r>
      <w:r w:rsidR="006636A6">
        <w:t>SET</w:t>
      </w:r>
      <w:r>
        <w:t xml:space="preserve"> sit in seven domains, the full standards for these domains are set out in Section </w:t>
      </w:r>
      <w:r w:rsidR="00A77B35">
        <w:t>two</w:t>
      </w:r>
      <w:r>
        <w:t xml:space="preserve"> of this document. The domains are as follows:</w:t>
      </w:r>
    </w:p>
    <w:p w14:paraId="6258ED67" w14:textId="77777777" w:rsidR="007E5AD7" w:rsidRDefault="007E5AD7">
      <w:pPr>
        <w:pStyle w:val="BodyText"/>
        <w:spacing w:before="160" w:line="268" w:lineRule="auto"/>
        <w:ind w:left="112" w:right="105"/>
      </w:pPr>
    </w:p>
    <w:p w14:paraId="07528188" w14:textId="24E428F7" w:rsidR="003C7A06" w:rsidRDefault="003B6355" w:rsidP="003C7A06">
      <w:pPr>
        <w:spacing w:before="1" w:line="367" w:lineRule="auto"/>
        <w:ind w:left="833" w:right="4972"/>
        <w:rPr>
          <w:b/>
          <w:sz w:val="24"/>
        </w:rPr>
      </w:pPr>
      <w:r>
        <w:rPr>
          <w:b/>
          <w:sz w:val="24"/>
        </w:rPr>
        <w:t xml:space="preserve">Domain 1: </w:t>
      </w:r>
      <w:r>
        <w:rPr>
          <w:sz w:val="24"/>
        </w:rPr>
        <w:t xml:space="preserve">Person-centred approach </w:t>
      </w:r>
      <w:r>
        <w:rPr>
          <w:b/>
          <w:sz w:val="24"/>
        </w:rPr>
        <w:t xml:space="preserve">Domain 2: </w:t>
      </w:r>
      <w:r>
        <w:rPr>
          <w:sz w:val="24"/>
        </w:rPr>
        <w:t xml:space="preserve">Learner-centred approach </w:t>
      </w:r>
    </w:p>
    <w:p w14:paraId="600460B3" w14:textId="065DAA36" w:rsidR="006E7DE8" w:rsidRDefault="00311E83" w:rsidP="003C7A06">
      <w:pPr>
        <w:spacing w:before="1" w:line="367" w:lineRule="auto"/>
        <w:ind w:left="833" w:right="4972"/>
        <w:rPr>
          <w:position w:val="8"/>
          <w:sz w:val="16"/>
        </w:rPr>
      </w:pPr>
      <w:r>
        <w:rPr>
          <w:b/>
          <w:sz w:val="24"/>
        </w:rPr>
        <w:t>Domain 3:</w:t>
      </w:r>
      <w:r>
        <w:rPr>
          <w:position w:val="8"/>
          <w:sz w:val="16"/>
        </w:rPr>
        <w:t xml:space="preserve"> </w:t>
      </w:r>
      <w:r w:rsidRPr="00311E83">
        <w:rPr>
          <w:sz w:val="24"/>
        </w:rPr>
        <w:t>Learning in the workplace</w:t>
      </w:r>
      <w:r w:rsidR="006E7DE8">
        <w:rPr>
          <w:rStyle w:val="EndnoteReference"/>
          <w:sz w:val="24"/>
        </w:rPr>
        <w:endnoteReference w:id="2"/>
      </w:r>
    </w:p>
    <w:p w14:paraId="29985B12" w14:textId="5695D0DC" w:rsidR="0012290E" w:rsidRPr="007F464D" w:rsidRDefault="003B6355" w:rsidP="003C7A06">
      <w:pPr>
        <w:spacing w:before="1" w:line="367" w:lineRule="auto"/>
        <w:ind w:left="833" w:right="4972"/>
        <w:rPr>
          <w:sz w:val="24"/>
        </w:rPr>
      </w:pPr>
      <w:r>
        <w:rPr>
          <w:b/>
          <w:sz w:val="24"/>
        </w:rPr>
        <w:t xml:space="preserve">Domain 4: </w:t>
      </w:r>
      <w:r>
        <w:rPr>
          <w:sz w:val="24"/>
        </w:rPr>
        <w:t xml:space="preserve">Programme content </w:t>
      </w:r>
      <w:r>
        <w:rPr>
          <w:b/>
          <w:sz w:val="24"/>
        </w:rPr>
        <w:t>Domain 5</w:t>
      </w:r>
      <w:r>
        <w:rPr>
          <w:sz w:val="24"/>
        </w:rPr>
        <w:t xml:space="preserve">: Programme delivery </w:t>
      </w:r>
      <w:r>
        <w:rPr>
          <w:b/>
          <w:sz w:val="24"/>
        </w:rPr>
        <w:t xml:space="preserve">Domain 6: </w:t>
      </w:r>
      <w:r>
        <w:rPr>
          <w:sz w:val="24"/>
        </w:rPr>
        <w:t xml:space="preserve">Learner assessment </w:t>
      </w:r>
      <w:r>
        <w:rPr>
          <w:b/>
          <w:sz w:val="24"/>
        </w:rPr>
        <w:t xml:space="preserve">Domain 7: </w:t>
      </w:r>
      <w:r>
        <w:rPr>
          <w:sz w:val="24"/>
        </w:rPr>
        <w:t>Programme management</w:t>
      </w:r>
    </w:p>
    <w:p w14:paraId="007B52DC" w14:textId="77777777" w:rsidR="00A97699" w:rsidRDefault="00A97699">
      <w:pPr>
        <w:pStyle w:val="BodyText"/>
        <w:spacing w:before="5"/>
        <w:rPr>
          <w:sz w:val="19"/>
        </w:rPr>
      </w:pPr>
    </w:p>
    <w:p w14:paraId="5B22593B" w14:textId="77777777" w:rsidR="00A97699" w:rsidRDefault="00A97699">
      <w:pPr>
        <w:pStyle w:val="BodyText"/>
        <w:spacing w:before="5"/>
        <w:rPr>
          <w:sz w:val="19"/>
        </w:rPr>
      </w:pPr>
    </w:p>
    <w:p w14:paraId="7BB1D42D" w14:textId="4ED1141A" w:rsidR="00A97699" w:rsidRDefault="00A97699">
      <w:pPr>
        <w:pStyle w:val="BodyText"/>
        <w:spacing w:before="5"/>
        <w:rPr>
          <w:sz w:val="19"/>
        </w:rPr>
      </w:pPr>
    </w:p>
    <w:p w14:paraId="45FD14E4" w14:textId="77777777" w:rsidR="003619EE" w:rsidRDefault="003619EE">
      <w:pPr>
        <w:pStyle w:val="BodyText"/>
        <w:spacing w:before="5"/>
        <w:rPr>
          <w:sz w:val="19"/>
        </w:rPr>
      </w:pPr>
    </w:p>
    <w:p w14:paraId="7135A91B" w14:textId="77777777" w:rsidR="00A97699" w:rsidRDefault="00A97699">
      <w:pPr>
        <w:pStyle w:val="BodyText"/>
        <w:spacing w:before="5"/>
        <w:rPr>
          <w:sz w:val="19"/>
        </w:rPr>
      </w:pPr>
    </w:p>
    <w:p w14:paraId="0DFEE816" w14:textId="77777777" w:rsidR="00A97699" w:rsidRDefault="00A97699">
      <w:pPr>
        <w:pStyle w:val="BodyText"/>
        <w:spacing w:before="5"/>
        <w:rPr>
          <w:sz w:val="19"/>
        </w:rPr>
      </w:pPr>
    </w:p>
    <w:p w14:paraId="3479AC3F" w14:textId="77777777" w:rsidR="00A97699" w:rsidRPr="00830C28" w:rsidRDefault="00A97699">
      <w:pPr>
        <w:pStyle w:val="BodyText"/>
        <w:spacing w:before="5"/>
      </w:pPr>
    </w:p>
    <w:p w14:paraId="056BB505" w14:textId="2D13A5AF" w:rsidR="0012290E" w:rsidRPr="005D6695" w:rsidRDefault="003B6355" w:rsidP="00511D61">
      <w:pPr>
        <w:pStyle w:val="Heading1"/>
        <w:ind w:left="0"/>
        <w:rPr>
          <w:color w:val="003893"/>
          <w:sz w:val="28"/>
          <w:szCs w:val="28"/>
        </w:rPr>
      </w:pPr>
      <w:bookmarkStart w:id="6" w:name="_Toc34395795"/>
      <w:r w:rsidRPr="005D6695">
        <w:rPr>
          <w:color w:val="003893"/>
          <w:sz w:val="28"/>
          <w:szCs w:val="28"/>
        </w:rPr>
        <w:lastRenderedPageBreak/>
        <w:t>Section 2: The S</w:t>
      </w:r>
      <w:r w:rsidR="00A77B35" w:rsidRPr="005D6695">
        <w:rPr>
          <w:color w:val="003893"/>
          <w:sz w:val="28"/>
          <w:szCs w:val="28"/>
        </w:rPr>
        <w:t xml:space="preserve">tandards of </w:t>
      </w:r>
      <w:r w:rsidRPr="005D6695">
        <w:rPr>
          <w:color w:val="003893"/>
          <w:sz w:val="28"/>
          <w:szCs w:val="28"/>
        </w:rPr>
        <w:t>E</w:t>
      </w:r>
      <w:r w:rsidR="00A77B35" w:rsidRPr="005D6695">
        <w:rPr>
          <w:color w:val="003893"/>
          <w:sz w:val="28"/>
          <w:szCs w:val="28"/>
        </w:rPr>
        <w:t xml:space="preserve">ducation and </w:t>
      </w:r>
      <w:r w:rsidRPr="005D6695">
        <w:rPr>
          <w:color w:val="003893"/>
          <w:sz w:val="28"/>
          <w:szCs w:val="28"/>
        </w:rPr>
        <w:t>T</w:t>
      </w:r>
      <w:r w:rsidR="00A77B35" w:rsidRPr="005D6695">
        <w:rPr>
          <w:color w:val="003893"/>
          <w:sz w:val="28"/>
          <w:szCs w:val="28"/>
        </w:rPr>
        <w:t xml:space="preserve">raining </w:t>
      </w:r>
      <w:r w:rsidRPr="005D6695">
        <w:rPr>
          <w:color w:val="003893"/>
          <w:sz w:val="28"/>
          <w:szCs w:val="28"/>
        </w:rPr>
        <w:t>in full</w:t>
      </w:r>
      <w:bookmarkEnd w:id="6"/>
    </w:p>
    <w:p w14:paraId="100C38F1" w14:textId="77777777" w:rsidR="0012290E" w:rsidRDefault="0012290E">
      <w:pPr>
        <w:pStyle w:val="BodyText"/>
        <w:spacing w:before="9"/>
        <w:rPr>
          <w:b/>
          <w:sz w:val="41"/>
        </w:rPr>
      </w:pPr>
    </w:p>
    <w:p w14:paraId="3FF12AE6" w14:textId="5BA0F05E" w:rsidR="0012290E" w:rsidRPr="000F6C53" w:rsidRDefault="003B6355">
      <w:pPr>
        <w:pStyle w:val="Heading2"/>
        <w:rPr>
          <w:b/>
          <w:bCs/>
          <w:sz w:val="24"/>
          <w:szCs w:val="24"/>
        </w:rPr>
      </w:pPr>
      <w:bookmarkStart w:id="7" w:name="_Toc34395796"/>
      <w:r w:rsidRPr="000F6C53">
        <w:rPr>
          <w:b/>
          <w:bCs/>
          <w:spacing w:val="11"/>
          <w:sz w:val="24"/>
          <w:szCs w:val="24"/>
        </w:rPr>
        <w:t xml:space="preserve">Domain </w:t>
      </w:r>
      <w:r w:rsidRPr="000F6C53">
        <w:rPr>
          <w:b/>
          <w:bCs/>
          <w:spacing w:val="7"/>
          <w:sz w:val="24"/>
          <w:szCs w:val="24"/>
        </w:rPr>
        <w:t xml:space="preserve">1: </w:t>
      </w:r>
      <w:r w:rsidRPr="000F6C53">
        <w:rPr>
          <w:b/>
          <w:bCs/>
          <w:spacing w:val="13"/>
          <w:sz w:val="24"/>
          <w:szCs w:val="24"/>
        </w:rPr>
        <w:t>Person-centred</w:t>
      </w:r>
      <w:r w:rsidR="003C7A06" w:rsidRPr="000F6C53">
        <w:rPr>
          <w:b/>
          <w:bCs/>
          <w:spacing w:val="76"/>
          <w:sz w:val="24"/>
          <w:szCs w:val="24"/>
        </w:rPr>
        <w:t xml:space="preserve"> </w:t>
      </w:r>
      <w:r w:rsidRPr="000F6C53">
        <w:rPr>
          <w:b/>
          <w:bCs/>
          <w:spacing w:val="12"/>
          <w:sz w:val="24"/>
          <w:szCs w:val="24"/>
        </w:rPr>
        <w:t>approach</w:t>
      </w:r>
      <w:bookmarkEnd w:id="7"/>
    </w:p>
    <w:p w14:paraId="22079FFC" w14:textId="6D9F5998" w:rsidR="0012290E" w:rsidRDefault="003B6355">
      <w:pPr>
        <w:pStyle w:val="ListParagraph"/>
        <w:numPr>
          <w:ilvl w:val="1"/>
          <w:numId w:val="11"/>
        </w:numPr>
        <w:tabs>
          <w:tab w:val="left" w:pos="899"/>
        </w:tabs>
        <w:spacing w:before="155" w:line="259" w:lineRule="auto"/>
        <w:ind w:right="279"/>
        <w:rPr>
          <w:sz w:val="24"/>
        </w:rPr>
      </w:pPr>
      <w:r>
        <w:rPr>
          <w:sz w:val="24"/>
        </w:rPr>
        <w:t>The programme places patients</w:t>
      </w:r>
      <w:r w:rsidR="0016791B">
        <w:rPr>
          <w:rStyle w:val="EndnoteReference"/>
          <w:sz w:val="24"/>
        </w:rPr>
        <w:endnoteReference w:id="3"/>
      </w:r>
      <w:r w:rsidR="00CF5A85">
        <w:rPr>
          <w:position w:val="8"/>
          <w:sz w:val="16"/>
        </w:rPr>
        <w:t xml:space="preserve"> </w:t>
      </w:r>
      <w:r>
        <w:rPr>
          <w:position w:val="8"/>
          <w:sz w:val="16"/>
        </w:rPr>
        <w:t xml:space="preserve"> </w:t>
      </w:r>
      <w:r>
        <w:rPr>
          <w:sz w:val="24"/>
        </w:rPr>
        <w:t>at the heart of professional learning and development and reflects the values of the NHS Constitution, regardless of where care/learning</w:t>
      </w:r>
      <w:r>
        <w:rPr>
          <w:spacing w:val="-2"/>
          <w:sz w:val="24"/>
        </w:rPr>
        <w:t xml:space="preserve"> </w:t>
      </w:r>
      <w:r>
        <w:rPr>
          <w:sz w:val="24"/>
        </w:rPr>
        <w:t>occurs.</w:t>
      </w:r>
    </w:p>
    <w:p w14:paraId="199145A4" w14:textId="5342667D" w:rsidR="0012290E" w:rsidRDefault="003B6355">
      <w:pPr>
        <w:pStyle w:val="ListParagraph"/>
        <w:numPr>
          <w:ilvl w:val="1"/>
          <w:numId w:val="11"/>
        </w:numPr>
        <w:tabs>
          <w:tab w:val="left" w:pos="899"/>
        </w:tabs>
        <w:spacing w:before="63" w:line="259" w:lineRule="auto"/>
        <w:ind w:right="670"/>
        <w:rPr>
          <w:sz w:val="24"/>
        </w:rPr>
      </w:pPr>
      <w:r>
        <w:rPr>
          <w:sz w:val="24"/>
        </w:rPr>
        <w:t>Patients and carers are actively engaged in the programme’s design,</w:t>
      </w:r>
      <w:r>
        <w:rPr>
          <w:spacing w:val="-33"/>
          <w:sz w:val="24"/>
        </w:rPr>
        <w:t xml:space="preserve"> </w:t>
      </w:r>
      <w:r>
        <w:rPr>
          <w:sz w:val="24"/>
        </w:rPr>
        <w:t>delivery, evaluation, review and onward</w:t>
      </w:r>
      <w:r>
        <w:rPr>
          <w:spacing w:val="-2"/>
          <w:sz w:val="24"/>
        </w:rPr>
        <w:t xml:space="preserve"> </w:t>
      </w:r>
      <w:r>
        <w:rPr>
          <w:sz w:val="24"/>
        </w:rPr>
        <w:t>development.</w:t>
      </w:r>
    </w:p>
    <w:p w14:paraId="752955CE" w14:textId="16718672" w:rsidR="0012290E" w:rsidRDefault="003B6355">
      <w:pPr>
        <w:pStyle w:val="ListParagraph"/>
        <w:numPr>
          <w:ilvl w:val="1"/>
          <w:numId w:val="11"/>
        </w:numPr>
        <w:tabs>
          <w:tab w:val="left" w:pos="899"/>
        </w:tabs>
        <w:rPr>
          <w:sz w:val="24"/>
        </w:rPr>
      </w:pPr>
      <w:r>
        <w:rPr>
          <w:sz w:val="24"/>
        </w:rPr>
        <w:t>The programme ethos, design and delivery ensure that the learning</w:t>
      </w:r>
      <w:r>
        <w:rPr>
          <w:spacing w:val="-9"/>
          <w:sz w:val="24"/>
        </w:rPr>
        <w:t xml:space="preserve"> </w:t>
      </w:r>
      <w:r>
        <w:rPr>
          <w:sz w:val="24"/>
        </w:rPr>
        <w:t>process</w:t>
      </w:r>
      <w:r w:rsidR="00614400">
        <w:rPr>
          <w:sz w:val="24"/>
        </w:rPr>
        <w:t>:</w:t>
      </w:r>
    </w:p>
    <w:p w14:paraId="4DCDA6A3" w14:textId="77777777" w:rsidR="0012290E" w:rsidRDefault="003B6355">
      <w:pPr>
        <w:pStyle w:val="ListParagraph"/>
        <w:numPr>
          <w:ilvl w:val="2"/>
          <w:numId w:val="11"/>
        </w:numPr>
        <w:tabs>
          <w:tab w:val="left" w:pos="1257"/>
          <w:tab w:val="left" w:pos="1258"/>
        </w:tabs>
        <w:spacing w:before="88"/>
        <w:rPr>
          <w:sz w:val="24"/>
        </w:rPr>
      </w:pPr>
      <w:r>
        <w:rPr>
          <w:sz w:val="24"/>
        </w:rPr>
        <w:t>Treats patients with respect, compassion and</w:t>
      </w:r>
      <w:r>
        <w:rPr>
          <w:spacing w:val="3"/>
          <w:sz w:val="24"/>
        </w:rPr>
        <w:t xml:space="preserve"> </w:t>
      </w:r>
      <w:r>
        <w:rPr>
          <w:sz w:val="24"/>
        </w:rPr>
        <w:t>dignity</w:t>
      </w:r>
    </w:p>
    <w:p w14:paraId="657E9D25" w14:textId="77777777" w:rsidR="0012290E" w:rsidRDefault="003B6355">
      <w:pPr>
        <w:pStyle w:val="ListParagraph"/>
        <w:numPr>
          <w:ilvl w:val="2"/>
          <w:numId w:val="11"/>
        </w:numPr>
        <w:tabs>
          <w:tab w:val="left" w:pos="1257"/>
          <w:tab w:val="left" w:pos="1258"/>
        </w:tabs>
        <w:spacing w:before="20"/>
        <w:rPr>
          <w:sz w:val="24"/>
        </w:rPr>
      </w:pPr>
      <w:r>
        <w:rPr>
          <w:sz w:val="24"/>
        </w:rPr>
        <w:t>Upholds patients’</w:t>
      </w:r>
      <w:r>
        <w:rPr>
          <w:spacing w:val="-1"/>
          <w:sz w:val="24"/>
        </w:rPr>
        <w:t xml:space="preserve"> </w:t>
      </w:r>
      <w:r>
        <w:rPr>
          <w:sz w:val="24"/>
        </w:rPr>
        <w:t>confidentiality</w:t>
      </w:r>
    </w:p>
    <w:p w14:paraId="455F7DCA" w14:textId="77777777" w:rsidR="0012290E" w:rsidRDefault="003B6355">
      <w:pPr>
        <w:pStyle w:val="ListParagraph"/>
        <w:numPr>
          <w:ilvl w:val="2"/>
          <w:numId w:val="11"/>
        </w:numPr>
        <w:tabs>
          <w:tab w:val="left" w:pos="1257"/>
          <w:tab w:val="left" w:pos="1258"/>
        </w:tabs>
        <w:spacing w:before="20"/>
        <w:rPr>
          <w:sz w:val="24"/>
        </w:rPr>
      </w:pPr>
      <w:r>
        <w:rPr>
          <w:sz w:val="24"/>
        </w:rPr>
        <w:t>Supports and promotes safe, effective, person-centred, compassionate</w:t>
      </w:r>
      <w:r>
        <w:rPr>
          <w:spacing w:val="-8"/>
          <w:sz w:val="24"/>
        </w:rPr>
        <w:t xml:space="preserve"> </w:t>
      </w:r>
      <w:r>
        <w:rPr>
          <w:sz w:val="24"/>
        </w:rPr>
        <w:t>care.</w:t>
      </w:r>
    </w:p>
    <w:p w14:paraId="7B69970E" w14:textId="0327C250" w:rsidR="0012290E" w:rsidRDefault="00CF5A85">
      <w:pPr>
        <w:pStyle w:val="ListParagraph"/>
        <w:numPr>
          <w:ilvl w:val="1"/>
          <w:numId w:val="11"/>
        </w:numPr>
        <w:tabs>
          <w:tab w:val="left" w:pos="899"/>
        </w:tabs>
        <w:spacing w:before="18" w:line="261" w:lineRule="auto"/>
        <w:ind w:right="144"/>
        <w:rPr>
          <w:sz w:val="24"/>
        </w:rPr>
      </w:pPr>
      <w:r>
        <w:rPr>
          <w:sz w:val="24"/>
        </w:rPr>
        <w:t xml:space="preserve">The programme </w:t>
      </w:r>
      <w:r w:rsidR="00697E9A">
        <w:rPr>
          <w:sz w:val="24"/>
        </w:rPr>
        <w:t xml:space="preserve">entry requirements protect patients by ensuring that learners meet essential pre-requisites related to: </w:t>
      </w:r>
    </w:p>
    <w:p w14:paraId="31AA74DD" w14:textId="0A3A6A49" w:rsidR="0049762E" w:rsidRDefault="00097A18">
      <w:pPr>
        <w:pStyle w:val="ListParagraph"/>
        <w:numPr>
          <w:ilvl w:val="2"/>
          <w:numId w:val="11"/>
        </w:numPr>
        <w:tabs>
          <w:tab w:val="left" w:pos="1257"/>
          <w:tab w:val="left" w:pos="1258"/>
        </w:tabs>
        <w:spacing w:before="85" w:line="256" w:lineRule="auto"/>
        <w:ind w:right="411"/>
        <w:rPr>
          <w:sz w:val="24"/>
        </w:rPr>
      </w:pPr>
      <w:r>
        <w:rPr>
          <w:sz w:val="24"/>
        </w:rPr>
        <w:t>Work based learning/placement</w:t>
      </w:r>
      <w:r w:rsidR="0049762E">
        <w:rPr>
          <w:sz w:val="24"/>
        </w:rPr>
        <w:t xml:space="preserve"> requirements, where applicable</w:t>
      </w:r>
      <w:r w:rsidR="00614400">
        <w:rPr>
          <w:sz w:val="24"/>
        </w:rPr>
        <w:t>.</w:t>
      </w:r>
      <w:r w:rsidR="0049762E">
        <w:rPr>
          <w:sz w:val="24"/>
        </w:rPr>
        <w:t xml:space="preserve"> </w:t>
      </w:r>
    </w:p>
    <w:p w14:paraId="5B794465" w14:textId="4AC94E9A" w:rsidR="0012290E" w:rsidRDefault="003B6355">
      <w:pPr>
        <w:pStyle w:val="ListParagraph"/>
        <w:numPr>
          <w:ilvl w:val="1"/>
          <w:numId w:val="11"/>
        </w:numPr>
        <w:tabs>
          <w:tab w:val="left" w:pos="899"/>
        </w:tabs>
        <w:spacing w:before="82"/>
        <w:rPr>
          <w:sz w:val="24"/>
        </w:rPr>
      </w:pPr>
      <w:r>
        <w:rPr>
          <w:sz w:val="24"/>
        </w:rPr>
        <w:t>Governance arrangements are in place for all programme components to</w:t>
      </w:r>
      <w:r>
        <w:rPr>
          <w:spacing w:val="-16"/>
          <w:sz w:val="24"/>
        </w:rPr>
        <w:t xml:space="preserve"> </w:t>
      </w:r>
      <w:r>
        <w:rPr>
          <w:sz w:val="24"/>
        </w:rPr>
        <w:t>ensure</w:t>
      </w:r>
      <w:r w:rsidR="00614400">
        <w:rPr>
          <w:sz w:val="24"/>
        </w:rPr>
        <w:t>:</w:t>
      </w:r>
    </w:p>
    <w:p w14:paraId="5641AFDB" w14:textId="25DD8574" w:rsidR="0012290E" w:rsidRDefault="003B6355">
      <w:pPr>
        <w:pStyle w:val="ListParagraph"/>
        <w:numPr>
          <w:ilvl w:val="2"/>
          <w:numId w:val="11"/>
        </w:numPr>
        <w:tabs>
          <w:tab w:val="left" w:pos="1238"/>
          <w:tab w:val="left" w:pos="1239"/>
        </w:tabs>
        <w:spacing w:before="87"/>
        <w:ind w:left="1238"/>
        <w:rPr>
          <w:sz w:val="24"/>
        </w:rPr>
      </w:pPr>
      <w:r>
        <w:rPr>
          <w:sz w:val="24"/>
        </w:rPr>
        <w:t>Patient safety</w:t>
      </w:r>
      <w:r w:rsidR="00097A18">
        <w:rPr>
          <w:sz w:val="24"/>
        </w:rPr>
        <w:t>,</w:t>
      </w:r>
    </w:p>
    <w:p w14:paraId="3104443E" w14:textId="3E557202" w:rsidR="0012290E" w:rsidRDefault="00097A18">
      <w:pPr>
        <w:pStyle w:val="ListParagraph"/>
        <w:numPr>
          <w:ilvl w:val="2"/>
          <w:numId w:val="11"/>
        </w:numPr>
        <w:tabs>
          <w:tab w:val="left" w:pos="1238"/>
          <w:tab w:val="left" w:pos="1239"/>
        </w:tabs>
        <w:spacing w:before="85" w:line="256" w:lineRule="auto"/>
        <w:ind w:left="1238" w:right="178"/>
        <w:rPr>
          <w:sz w:val="24"/>
        </w:rPr>
      </w:pPr>
      <w:r>
        <w:rPr>
          <w:sz w:val="24"/>
        </w:rPr>
        <w:t>When this is relevant to their</w:t>
      </w:r>
      <w:r>
        <w:rPr>
          <w:spacing w:val="1"/>
          <w:sz w:val="24"/>
        </w:rPr>
        <w:t xml:space="preserve"> </w:t>
      </w:r>
      <w:r>
        <w:rPr>
          <w:sz w:val="24"/>
        </w:rPr>
        <w:t>care, p</w:t>
      </w:r>
      <w:r w:rsidR="003B6355">
        <w:rPr>
          <w:sz w:val="24"/>
        </w:rPr>
        <w:t>atients are informed of the status of registered practitioners as learners on the programme</w:t>
      </w:r>
      <w:r>
        <w:rPr>
          <w:sz w:val="24"/>
        </w:rPr>
        <w:t>,</w:t>
      </w:r>
      <w:r w:rsidR="003B6355">
        <w:rPr>
          <w:sz w:val="24"/>
        </w:rPr>
        <w:t xml:space="preserve"> </w:t>
      </w:r>
    </w:p>
    <w:p w14:paraId="0BBAD6A5" w14:textId="6F037969" w:rsidR="0012290E" w:rsidRDefault="003B6355">
      <w:pPr>
        <w:pStyle w:val="ListParagraph"/>
        <w:numPr>
          <w:ilvl w:val="2"/>
          <w:numId w:val="11"/>
        </w:numPr>
        <w:tabs>
          <w:tab w:val="left" w:pos="1238"/>
          <w:tab w:val="left" w:pos="1239"/>
        </w:tabs>
        <w:spacing w:before="65" w:line="256" w:lineRule="auto"/>
        <w:ind w:left="1238" w:right="404"/>
        <w:rPr>
          <w:sz w:val="24"/>
        </w:rPr>
      </w:pPr>
      <w:r>
        <w:rPr>
          <w:sz w:val="24"/>
        </w:rPr>
        <w:t>Patients are enabled to give their informed consent for their engagement with practitioners as learners</w:t>
      </w:r>
      <w:r w:rsidR="00097A18">
        <w:rPr>
          <w:sz w:val="24"/>
        </w:rPr>
        <w:t>,</w:t>
      </w:r>
    </w:p>
    <w:p w14:paraId="19C91C6F" w14:textId="7355A44E" w:rsidR="0012290E" w:rsidRDefault="003B6355">
      <w:pPr>
        <w:pStyle w:val="ListParagraph"/>
        <w:numPr>
          <w:ilvl w:val="2"/>
          <w:numId w:val="11"/>
        </w:numPr>
        <w:tabs>
          <w:tab w:val="left" w:pos="1238"/>
          <w:tab w:val="left" w:pos="1239"/>
        </w:tabs>
        <w:spacing w:before="67"/>
        <w:ind w:left="1238"/>
        <w:rPr>
          <w:sz w:val="24"/>
        </w:rPr>
      </w:pPr>
      <w:r>
        <w:rPr>
          <w:sz w:val="24"/>
        </w:rPr>
        <w:t>The transparency of the learning process, including in work-based</w:t>
      </w:r>
      <w:r>
        <w:rPr>
          <w:spacing w:val="-5"/>
          <w:sz w:val="24"/>
        </w:rPr>
        <w:t xml:space="preserve"> </w:t>
      </w:r>
      <w:r>
        <w:rPr>
          <w:sz w:val="24"/>
        </w:rPr>
        <w:t>settings</w:t>
      </w:r>
      <w:r w:rsidR="00097A18">
        <w:rPr>
          <w:sz w:val="24"/>
        </w:rPr>
        <w:t>,</w:t>
      </w:r>
    </w:p>
    <w:p w14:paraId="1851DA38" w14:textId="63E89A12" w:rsidR="00CF5A85" w:rsidRPr="00CF5A85" w:rsidRDefault="003B6355" w:rsidP="00CF5A85">
      <w:pPr>
        <w:pStyle w:val="ListParagraph"/>
        <w:numPr>
          <w:ilvl w:val="2"/>
          <w:numId w:val="11"/>
        </w:numPr>
        <w:tabs>
          <w:tab w:val="left" w:pos="1238"/>
          <w:tab w:val="left" w:pos="1239"/>
        </w:tabs>
        <w:spacing w:before="83"/>
        <w:ind w:left="1238"/>
        <w:rPr>
          <w:sz w:val="24"/>
        </w:rPr>
      </w:pPr>
      <w:r>
        <w:rPr>
          <w:sz w:val="24"/>
        </w:rPr>
        <w:t>The integrity, quality and value of the learning experience.</w:t>
      </w:r>
    </w:p>
    <w:p w14:paraId="621E3DF2" w14:textId="054D9F6E" w:rsidR="00CF5A85" w:rsidRPr="00CF5A85" w:rsidRDefault="00CF5A85" w:rsidP="00CF5A85">
      <w:pPr>
        <w:pStyle w:val="ListParagraph"/>
        <w:numPr>
          <w:ilvl w:val="1"/>
          <w:numId w:val="11"/>
        </w:numPr>
        <w:tabs>
          <w:tab w:val="left" w:pos="899"/>
        </w:tabs>
        <w:spacing w:before="82"/>
        <w:rPr>
          <w:sz w:val="24"/>
        </w:rPr>
      </w:pPr>
      <w:r w:rsidRPr="00CF5A85">
        <w:rPr>
          <w:sz w:val="24"/>
        </w:rPr>
        <w:t>The programme includes processes to manage concerns about learners’ progression, professional suitability and fitness to practise.</w:t>
      </w:r>
    </w:p>
    <w:p w14:paraId="29970370" w14:textId="216BA54C" w:rsidR="00CF5A85" w:rsidRDefault="00CF5A85">
      <w:pPr>
        <w:pStyle w:val="BodyText"/>
        <w:rPr>
          <w:sz w:val="20"/>
        </w:rPr>
      </w:pPr>
    </w:p>
    <w:p w14:paraId="39B124A2" w14:textId="5BD73464" w:rsidR="00CF5A85" w:rsidRDefault="00CF5A85">
      <w:pPr>
        <w:pStyle w:val="BodyText"/>
        <w:rPr>
          <w:sz w:val="20"/>
        </w:rPr>
      </w:pPr>
    </w:p>
    <w:p w14:paraId="6A01BC7D" w14:textId="5FA8F148" w:rsidR="00CF5A85" w:rsidRDefault="00CF5A85">
      <w:pPr>
        <w:pStyle w:val="BodyText"/>
        <w:rPr>
          <w:sz w:val="20"/>
        </w:rPr>
      </w:pPr>
    </w:p>
    <w:p w14:paraId="6F3D4A3E" w14:textId="1D562CBA" w:rsidR="00CF5A85" w:rsidRDefault="00CF5A85">
      <w:pPr>
        <w:pStyle w:val="BodyText"/>
        <w:rPr>
          <w:sz w:val="20"/>
        </w:rPr>
      </w:pPr>
    </w:p>
    <w:p w14:paraId="3F61D520" w14:textId="2739F8D4" w:rsidR="00CF5A85" w:rsidRDefault="00CF5A85">
      <w:pPr>
        <w:pStyle w:val="BodyText"/>
        <w:rPr>
          <w:sz w:val="20"/>
        </w:rPr>
      </w:pPr>
    </w:p>
    <w:p w14:paraId="760BAC70" w14:textId="38E33335" w:rsidR="00CF5A85" w:rsidRDefault="00CF5A85">
      <w:pPr>
        <w:pStyle w:val="BodyText"/>
        <w:rPr>
          <w:sz w:val="20"/>
        </w:rPr>
      </w:pPr>
    </w:p>
    <w:p w14:paraId="7F304F18" w14:textId="7B57398F" w:rsidR="00CF5A85" w:rsidRDefault="00CF5A85">
      <w:pPr>
        <w:pStyle w:val="BodyText"/>
        <w:rPr>
          <w:sz w:val="20"/>
        </w:rPr>
      </w:pPr>
    </w:p>
    <w:p w14:paraId="5C482E3D" w14:textId="5822CDC6" w:rsidR="00CF5A85" w:rsidRDefault="00CF5A85">
      <w:pPr>
        <w:pStyle w:val="BodyText"/>
        <w:rPr>
          <w:sz w:val="20"/>
        </w:rPr>
      </w:pPr>
    </w:p>
    <w:p w14:paraId="4A3D092F" w14:textId="22962B44" w:rsidR="00CF5A85" w:rsidRDefault="00CF5A85">
      <w:pPr>
        <w:pStyle w:val="BodyText"/>
        <w:rPr>
          <w:sz w:val="20"/>
        </w:rPr>
      </w:pPr>
    </w:p>
    <w:p w14:paraId="76068559" w14:textId="7336A9A1" w:rsidR="00CF5A85" w:rsidRDefault="00CF5A85">
      <w:pPr>
        <w:pStyle w:val="BodyText"/>
        <w:rPr>
          <w:sz w:val="20"/>
        </w:rPr>
      </w:pPr>
    </w:p>
    <w:p w14:paraId="131680E6" w14:textId="77777777" w:rsidR="00CF5A85" w:rsidRDefault="00CF5A85">
      <w:pPr>
        <w:pStyle w:val="BodyText"/>
        <w:rPr>
          <w:sz w:val="20"/>
        </w:rPr>
      </w:pPr>
    </w:p>
    <w:p w14:paraId="36284269" w14:textId="77777777" w:rsidR="0012290E" w:rsidRDefault="0012290E">
      <w:pPr>
        <w:pStyle w:val="BodyText"/>
        <w:spacing w:before="3"/>
        <w:rPr>
          <w:rFonts w:ascii="Calibri"/>
          <w:sz w:val="13"/>
        </w:rPr>
      </w:pPr>
    </w:p>
    <w:p w14:paraId="2C56A742" w14:textId="77777777" w:rsidR="0012290E" w:rsidRDefault="0012290E">
      <w:pPr>
        <w:pStyle w:val="BodyText"/>
        <w:spacing w:before="4"/>
        <w:rPr>
          <w:sz w:val="31"/>
        </w:rPr>
      </w:pPr>
    </w:p>
    <w:p w14:paraId="2C420AB4" w14:textId="77777777" w:rsidR="0085448E" w:rsidRDefault="0085448E">
      <w:pPr>
        <w:rPr>
          <w:color w:val="9F0053"/>
          <w:spacing w:val="11"/>
          <w:sz w:val="28"/>
          <w:szCs w:val="28"/>
        </w:rPr>
      </w:pPr>
      <w:r>
        <w:rPr>
          <w:color w:val="9F0053"/>
          <w:spacing w:val="11"/>
        </w:rPr>
        <w:br w:type="page"/>
      </w:r>
    </w:p>
    <w:p w14:paraId="135B5FFA" w14:textId="42BEC96C" w:rsidR="0012290E" w:rsidRPr="000F6C53" w:rsidRDefault="003B6355" w:rsidP="003C7A06">
      <w:pPr>
        <w:pStyle w:val="Heading2"/>
        <w:rPr>
          <w:b/>
          <w:bCs/>
          <w:spacing w:val="11"/>
          <w:sz w:val="24"/>
          <w:szCs w:val="24"/>
        </w:rPr>
      </w:pPr>
      <w:bookmarkStart w:id="8" w:name="_Toc34395797"/>
      <w:r w:rsidRPr="000F6C53">
        <w:rPr>
          <w:b/>
          <w:bCs/>
          <w:spacing w:val="11"/>
          <w:sz w:val="24"/>
          <w:szCs w:val="24"/>
        </w:rPr>
        <w:lastRenderedPageBreak/>
        <w:t>Domain 2: Learner-centred approach</w:t>
      </w:r>
      <w:bookmarkEnd w:id="8"/>
    </w:p>
    <w:p w14:paraId="337DBADC" w14:textId="6742BE2E" w:rsidR="0012290E" w:rsidRDefault="003B6355">
      <w:pPr>
        <w:pStyle w:val="ListParagraph"/>
        <w:numPr>
          <w:ilvl w:val="1"/>
          <w:numId w:val="10"/>
        </w:numPr>
        <w:tabs>
          <w:tab w:val="left" w:pos="474"/>
        </w:tabs>
        <w:spacing w:before="139" w:line="259" w:lineRule="auto"/>
        <w:ind w:right="289"/>
        <w:rPr>
          <w:sz w:val="24"/>
        </w:rPr>
      </w:pPr>
      <w:r>
        <w:rPr>
          <w:sz w:val="24"/>
        </w:rPr>
        <w:t>The programme enables learners to demonstrate fulfilment of all the A</w:t>
      </w:r>
      <w:r w:rsidR="00044556">
        <w:rPr>
          <w:sz w:val="24"/>
        </w:rPr>
        <w:t>dvancing Practice</w:t>
      </w:r>
      <w:r w:rsidR="0012008A" w:rsidDel="0012008A">
        <w:rPr>
          <w:sz w:val="24"/>
        </w:rPr>
        <w:t xml:space="preserve"> </w:t>
      </w:r>
      <w:r>
        <w:rPr>
          <w:sz w:val="24"/>
        </w:rPr>
        <w:t>level capabilities in ways that fit with their profession, scope of practice, job role, and professional development needs.</w:t>
      </w:r>
    </w:p>
    <w:p w14:paraId="797656DF" w14:textId="77777777" w:rsidR="0012290E" w:rsidRDefault="003B6355">
      <w:pPr>
        <w:pStyle w:val="ListParagraph"/>
        <w:numPr>
          <w:ilvl w:val="1"/>
          <w:numId w:val="10"/>
        </w:numPr>
        <w:tabs>
          <w:tab w:val="left" w:pos="474"/>
        </w:tabs>
        <w:spacing w:before="63" w:line="259" w:lineRule="auto"/>
        <w:ind w:right="782"/>
        <w:rPr>
          <w:sz w:val="24"/>
        </w:rPr>
      </w:pPr>
      <w:r>
        <w:rPr>
          <w:sz w:val="24"/>
        </w:rPr>
        <w:t>Equality and diversity policies underpin all aspects of the programme’s delivery (including its admission processes), with their implementation monitored to foster equality of opportunity and to respect</w:t>
      </w:r>
      <w:r>
        <w:rPr>
          <w:spacing w:val="-4"/>
          <w:sz w:val="24"/>
        </w:rPr>
        <w:t xml:space="preserve"> </w:t>
      </w:r>
      <w:r>
        <w:rPr>
          <w:sz w:val="24"/>
        </w:rPr>
        <w:t>diversity.</w:t>
      </w:r>
    </w:p>
    <w:p w14:paraId="4BEF97C1" w14:textId="55A580B5" w:rsidR="0012290E" w:rsidRDefault="003B6355">
      <w:pPr>
        <w:pStyle w:val="ListParagraph"/>
        <w:numPr>
          <w:ilvl w:val="1"/>
          <w:numId w:val="10"/>
        </w:numPr>
        <w:tabs>
          <w:tab w:val="left" w:pos="474"/>
        </w:tabs>
        <w:spacing w:line="259" w:lineRule="auto"/>
        <w:ind w:right="1077"/>
        <w:rPr>
          <w:sz w:val="24"/>
        </w:rPr>
      </w:pPr>
      <w:r>
        <w:rPr>
          <w:sz w:val="24"/>
        </w:rPr>
        <w:t>Applicants and their employers have access to clear and accurate programme information, including</w:t>
      </w:r>
      <w:r>
        <w:rPr>
          <w:spacing w:val="-2"/>
          <w:sz w:val="24"/>
        </w:rPr>
        <w:t xml:space="preserve"> </w:t>
      </w:r>
      <w:r>
        <w:rPr>
          <w:sz w:val="24"/>
        </w:rPr>
        <w:t>on</w:t>
      </w:r>
      <w:r w:rsidR="00614400">
        <w:rPr>
          <w:sz w:val="24"/>
        </w:rPr>
        <w:t>:</w:t>
      </w:r>
    </w:p>
    <w:p w14:paraId="419DB2EF" w14:textId="77777777" w:rsidR="0012290E" w:rsidRDefault="003B6355">
      <w:pPr>
        <w:pStyle w:val="ListParagraph"/>
        <w:numPr>
          <w:ilvl w:val="2"/>
          <w:numId w:val="10"/>
        </w:numPr>
        <w:tabs>
          <w:tab w:val="left" w:pos="1284"/>
          <w:tab w:val="left" w:pos="1285"/>
        </w:tabs>
        <w:spacing w:before="0" w:line="256" w:lineRule="auto"/>
        <w:ind w:right="347" w:hanging="434"/>
        <w:rPr>
          <w:sz w:val="24"/>
        </w:rPr>
      </w:pPr>
      <w:r>
        <w:rPr>
          <w:sz w:val="24"/>
        </w:rPr>
        <w:t>Requirements relating to admission, attendance, supervision and work-based learning</w:t>
      </w:r>
    </w:p>
    <w:p w14:paraId="59E66346" w14:textId="2269965B" w:rsidR="0012290E" w:rsidRDefault="003B6355">
      <w:pPr>
        <w:pStyle w:val="ListParagraph"/>
        <w:numPr>
          <w:ilvl w:val="2"/>
          <w:numId w:val="10"/>
        </w:numPr>
        <w:tabs>
          <w:tab w:val="left" w:pos="1284"/>
          <w:tab w:val="left" w:pos="1285"/>
        </w:tabs>
        <w:spacing w:before="2" w:line="256" w:lineRule="auto"/>
        <w:ind w:right="292" w:hanging="434"/>
        <w:rPr>
          <w:sz w:val="24"/>
        </w:rPr>
      </w:pPr>
      <w:r>
        <w:rPr>
          <w:sz w:val="24"/>
        </w:rPr>
        <w:t xml:space="preserve">Learner support arrangements and requirements (in both academic and work- based settings, and in relation to any </w:t>
      </w:r>
      <w:r w:rsidR="00097A18">
        <w:rPr>
          <w:sz w:val="24"/>
        </w:rPr>
        <w:t>work-based</w:t>
      </w:r>
      <w:r>
        <w:rPr>
          <w:sz w:val="24"/>
        </w:rPr>
        <w:t xml:space="preserve"> learning away from the learner’s</w:t>
      </w:r>
      <w:r>
        <w:rPr>
          <w:spacing w:val="-1"/>
          <w:sz w:val="24"/>
        </w:rPr>
        <w:t xml:space="preserve"> </w:t>
      </w:r>
      <w:r>
        <w:rPr>
          <w:sz w:val="24"/>
        </w:rPr>
        <w:t>workplace)</w:t>
      </w:r>
    </w:p>
    <w:p w14:paraId="767B5635" w14:textId="77777777" w:rsidR="0012290E" w:rsidRDefault="003B6355">
      <w:pPr>
        <w:pStyle w:val="ListParagraph"/>
        <w:numPr>
          <w:ilvl w:val="2"/>
          <w:numId w:val="10"/>
        </w:numPr>
        <w:tabs>
          <w:tab w:val="left" w:pos="1284"/>
          <w:tab w:val="left" w:pos="1285"/>
        </w:tabs>
        <w:spacing w:before="4"/>
        <w:ind w:hanging="434"/>
        <w:rPr>
          <w:sz w:val="24"/>
        </w:rPr>
      </w:pPr>
      <w:r>
        <w:rPr>
          <w:sz w:val="24"/>
        </w:rPr>
        <w:t>The programme’s learning outcomes, content, structure and</w:t>
      </w:r>
      <w:r>
        <w:rPr>
          <w:spacing w:val="-4"/>
          <w:sz w:val="24"/>
        </w:rPr>
        <w:t xml:space="preserve"> </w:t>
      </w:r>
      <w:r>
        <w:rPr>
          <w:sz w:val="24"/>
        </w:rPr>
        <w:t>assessment</w:t>
      </w:r>
    </w:p>
    <w:p w14:paraId="74A73107" w14:textId="77777777" w:rsidR="0012290E" w:rsidRDefault="003B6355">
      <w:pPr>
        <w:pStyle w:val="ListParagraph"/>
        <w:numPr>
          <w:ilvl w:val="2"/>
          <w:numId w:val="10"/>
        </w:numPr>
        <w:tabs>
          <w:tab w:val="left" w:pos="1284"/>
          <w:tab w:val="left" w:pos="1285"/>
        </w:tabs>
        <w:spacing w:before="21" w:line="256" w:lineRule="auto"/>
        <w:ind w:right="172" w:hanging="434"/>
        <w:rPr>
          <w:sz w:val="24"/>
        </w:rPr>
      </w:pPr>
      <w:r>
        <w:rPr>
          <w:sz w:val="24"/>
        </w:rPr>
        <w:t>Programme fees and any additional costs or resource requirements associated with its completion.</w:t>
      </w:r>
    </w:p>
    <w:p w14:paraId="4D10CA76" w14:textId="494780C9" w:rsidR="0012290E" w:rsidRDefault="003B6355">
      <w:pPr>
        <w:pStyle w:val="ListParagraph"/>
        <w:numPr>
          <w:ilvl w:val="1"/>
          <w:numId w:val="10"/>
        </w:numPr>
        <w:tabs>
          <w:tab w:val="left" w:pos="474"/>
        </w:tabs>
        <w:spacing w:before="1" w:line="259" w:lineRule="auto"/>
        <w:ind w:right="636"/>
        <w:rPr>
          <w:sz w:val="24"/>
        </w:rPr>
      </w:pPr>
      <w:r>
        <w:rPr>
          <w:sz w:val="24"/>
        </w:rPr>
        <w:t>The admissions process seeks to optimise the prospect of learners completing the programme successfully, including by clearly addressing</w:t>
      </w:r>
      <w:r w:rsidR="00614400">
        <w:rPr>
          <w:sz w:val="24"/>
        </w:rPr>
        <w:t>:</w:t>
      </w:r>
    </w:p>
    <w:p w14:paraId="1833E085" w14:textId="77777777" w:rsidR="0012290E" w:rsidRDefault="003B6355">
      <w:pPr>
        <w:pStyle w:val="ListParagraph"/>
        <w:numPr>
          <w:ilvl w:val="2"/>
          <w:numId w:val="10"/>
        </w:numPr>
        <w:tabs>
          <w:tab w:val="left" w:pos="1238"/>
          <w:tab w:val="left" w:pos="1239"/>
        </w:tabs>
        <w:spacing w:before="65" w:line="292" w:lineRule="exact"/>
        <w:ind w:left="1238" w:hanging="360"/>
        <w:rPr>
          <w:sz w:val="24"/>
        </w:rPr>
      </w:pPr>
      <w:r>
        <w:rPr>
          <w:sz w:val="24"/>
        </w:rPr>
        <w:t>Required prior professional knowledge, skills and</w:t>
      </w:r>
      <w:r>
        <w:rPr>
          <w:spacing w:val="-1"/>
          <w:sz w:val="24"/>
        </w:rPr>
        <w:t xml:space="preserve"> </w:t>
      </w:r>
      <w:r>
        <w:rPr>
          <w:sz w:val="24"/>
        </w:rPr>
        <w:t>experience</w:t>
      </w:r>
    </w:p>
    <w:p w14:paraId="19390504" w14:textId="5AF0CD1C" w:rsidR="0012290E" w:rsidRDefault="003B6355">
      <w:pPr>
        <w:pStyle w:val="ListParagraph"/>
        <w:numPr>
          <w:ilvl w:val="2"/>
          <w:numId w:val="10"/>
        </w:numPr>
        <w:tabs>
          <w:tab w:val="left" w:pos="1238"/>
          <w:tab w:val="left" w:pos="1239"/>
        </w:tabs>
        <w:spacing w:before="0"/>
        <w:ind w:left="1238" w:right="1071" w:hanging="360"/>
        <w:rPr>
          <w:sz w:val="24"/>
        </w:rPr>
      </w:pPr>
      <w:r>
        <w:rPr>
          <w:sz w:val="24"/>
        </w:rPr>
        <w:t>Aptitude and commitment to learn at level 7</w:t>
      </w:r>
    </w:p>
    <w:p w14:paraId="3B8234DC" w14:textId="77777777" w:rsidR="0012290E" w:rsidRDefault="003B6355">
      <w:pPr>
        <w:pStyle w:val="ListParagraph"/>
        <w:numPr>
          <w:ilvl w:val="2"/>
          <w:numId w:val="10"/>
        </w:numPr>
        <w:tabs>
          <w:tab w:val="left" w:pos="1238"/>
          <w:tab w:val="left" w:pos="1239"/>
        </w:tabs>
        <w:spacing w:before="0" w:line="292" w:lineRule="exact"/>
        <w:ind w:left="1238" w:hanging="360"/>
        <w:rPr>
          <w:sz w:val="24"/>
        </w:rPr>
      </w:pPr>
      <w:r>
        <w:rPr>
          <w:sz w:val="24"/>
        </w:rPr>
        <w:t>Time and study commitments to complete the programme</w:t>
      </w:r>
      <w:r>
        <w:rPr>
          <w:spacing w:val="-5"/>
          <w:sz w:val="24"/>
        </w:rPr>
        <w:t xml:space="preserve"> </w:t>
      </w:r>
      <w:r>
        <w:rPr>
          <w:sz w:val="24"/>
        </w:rPr>
        <w:t>successfully</w:t>
      </w:r>
    </w:p>
    <w:p w14:paraId="0D329D90" w14:textId="4F294F91" w:rsidR="0012290E" w:rsidRDefault="003B6355">
      <w:pPr>
        <w:pStyle w:val="ListParagraph"/>
        <w:numPr>
          <w:ilvl w:val="2"/>
          <w:numId w:val="10"/>
        </w:numPr>
        <w:tabs>
          <w:tab w:val="left" w:pos="1238"/>
          <w:tab w:val="left" w:pos="1239"/>
        </w:tabs>
        <w:spacing w:before="0"/>
        <w:ind w:left="1238" w:right="619" w:hanging="360"/>
        <w:rPr>
          <w:sz w:val="24"/>
        </w:rPr>
      </w:pPr>
      <w:r>
        <w:rPr>
          <w:sz w:val="24"/>
        </w:rPr>
        <w:t xml:space="preserve">Access to opportunities </w:t>
      </w:r>
      <w:r w:rsidR="0012008A">
        <w:rPr>
          <w:sz w:val="24"/>
        </w:rPr>
        <w:t xml:space="preserve">for learning in the workplace </w:t>
      </w:r>
      <w:r>
        <w:rPr>
          <w:sz w:val="24"/>
        </w:rPr>
        <w:t>and other employer support to complete all programme components.</w:t>
      </w:r>
    </w:p>
    <w:p w14:paraId="69D35548" w14:textId="77777777" w:rsidR="0012290E" w:rsidRDefault="003B6355">
      <w:pPr>
        <w:pStyle w:val="ListParagraph"/>
        <w:numPr>
          <w:ilvl w:val="1"/>
          <w:numId w:val="10"/>
        </w:numPr>
        <w:tabs>
          <w:tab w:val="left" w:pos="474"/>
        </w:tabs>
        <w:spacing w:before="0" w:line="259" w:lineRule="auto"/>
        <w:ind w:right="1129"/>
        <w:rPr>
          <w:sz w:val="24"/>
        </w:rPr>
      </w:pPr>
      <w:r>
        <w:rPr>
          <w:sz w:val="24"/>
        </w:rPr>
        <w:t>Selection to undertake the programme and admission onto it is made by the programme team, supported by the education provider’s standard recruitment processes.</w:t>
      </w:r>
    </w:p>
    <w:p w14:paraId="009AEEEB" w14:textId="77777777" w:rsidR="0012290E" w:rsidRDefault="003B6355">
      <w:pPr>
        <w:pStyle w:val="ListParagraph"/>
        <w:numPr>
          <w:ilvl w:val="1"/>
          <w:numId w:val="10"/>
        </w:numPr>
        <w:tabs>
          <w:tab w:val="left" w:pos="474"/>
        </w:tabs>
        <w:spacing w:before="0" w:line="259" w:lineRule="auto"/>
        <w:ind w:right="1014"/>
        <w:rPr>
          <w:sz w:val="24"/>
        </w:rPr>
      </w:pPr>
      <w:r>
        <w:rPr>
          <w:sz w:val="24"/>
        </w:rPr>
        <w:t>Systems are in place to identify and address the needs of learners who</w:t>
      </w:r>
      <w:r>
        <w:rPr>
          <w:spacing w:val="-25"/>
          <w:sz w:val="24"/>
        </w:rPr>
        <w:t xml:space="preserve"> </w:t>
      </w:r>
      <w:r>
        <w:rPr>
          <w:sz w:val="24"/>
        </w:rPr>
        <w:t>require additional support to engage with and complete the</w:t>
      </w:r>
      <w:r>
        <w:rPr>
          <w:spacing w:val="-2"/>
          <w:sz w:val="24"/>
        </w:rPr>
        <w:t xml:space="preserve"> </w:t>
      </w:r>
      <w:r>
        <w:rPr>
          <w:sz w:val="24"/>
        </w:rPr>
        <w:t>programme.</w:t>
      </w:r>
    </w:p>
    <w:p w14:paraId="52CC6BC9" w14:textId="77777777" w:rsidR="0012290E" w:rsidRDefault="003B6355">
      <w:pPr>
        <w:pStyle w:val="ListParagraph"/>
        <w:numPr>
          <w:ilvl w:val="1"/>
          <w:numId w:val="10"/>
        </w:numPr>
        <w:tabs>
          <w:tab w:val="left" w:pos="474"/>
        </w:tabs>
        <w:spacing w:before="0" w:line="259" w:lineRule="auto"/>
        <w:ind w:right="356"/>
        <w:rPr>
          <w:sz w:val="24"/>
        </w:rPr>
      </w:pPr>
      <w:r>
        <w:rPr>
          <w:sz w:val="24"/>
        </w:rPr>
        <w:t>Procedures are in place to consider prior learning for entry to and/or exemption from specific components of the programme, in line with the education provider’s standard regulations and the programme’s specific learning</w:t>
      </w:r>
      <w:r>
        <w:rPr>
          <w:spacing w:val="-4"/>
          <w:sz w:val="24"/>
        </w:rPr>
        <w:t xml:space="preserve"> </w:t>
      </w:r>
      <w:r>
        <w:rPr>
          <w:sz w:val="24"/>
        </w:rPr>
        <w:t>outcomes.</w:t>
      </w:r>
    </w:p>
    <w:p w14:paraId="074FE3A1" w14:textId="57248179" w:rsidR="0012290E" w:rsidRDefault="003B6355">
      <w:pPr>
        <w:pStyle w:val="ListParagraph"/>
        <w:numPr>
          <w:ilvl w:val="1"/>
          <w:numId w:val="10"/>
        </w:numPr>
        <w:tabs>
          <w:tab w:val="left" w:pos="474"/>
        </w:tabs>
        <w:spacing w:before="62" w:line="259" w:lineRule="auto"/>
        <w:ind w:right="1302"/>
        <w:rPr>
          <w:sz w:val="24"/>
        </w:rPr>
      </w:pPr>
      <w:r>
        <w:rPr>
          <w:sz w:val="24"/>
        </w:rPr>
        <w:t>Learners are supported to embark on and progress through all stages of the programme, including through</w:t>
      </w:r>
      <w:r w:rsidR="00614400">
        <w:rPr>
          <w:sz w:val="24"/>
        </w:rPr>
        <w:t>:</w:t>
      </w:r>
    </w:p>
    <w:p w14:paraId="4B1D1144" w14:textId="1CBFD46A" w:rsidR="0012290E" w:rsidRPr="00AD7701" w:rsidRDefault="003B6355" w:rsidP="00AD7701">
      <w:pPr>
        <w:pStyle w:val="ListParagraph"/>
        <w:numPr>
          <w:ilvl w:val="2"/>
          <w:numId w:val="10"/>
        </w:numPr>
        <w:tabs>
          <w:tab w:val="left" w:pos="1238"/>
          <w:tab w:val="left" w:pos="1239"/>
        </w:tabs>
        <w:spacing w:before="100"/>
        <w:ind w:left="1238" w:hanging="360"/>
        <w:rPr>
          <w:sz w:val="24"/>
        </w:rPr>
      </w:pPr>
      <w:r w:rsidRPr="00AD7701">
        <w:rPr>
          <w:sz w:val="24"/>
        </w:rPr>
        <w:t>Advice on preparing to engage with the programme</w:t>
      </w:r>
      <w:r w:rsidR="00AD7701" w:rsidRPr="00AD7701">
        <w:rPr>
          <w:sz w:val="24"/>
        </w:rPr>
        <w:t xml:space="preserve"> </w:t>
      </w:r>
      <w:r w:rsidR="00AD7701">
        <w:rPr>
          <w:sz w:val="24"/>
        </w:rPr>
        <w:t>i</w:t>
      </w:r>
      <w:r w:rsidRPr="00AD7701">
        <w:rPr>
          <w:sz w:val="24"/>
        </w:rPr>
        <w:t>nduction</w:t>
      </w:r>
    </w:p>
    <w:p w14:paraId="352C3270" w14:textId="77777777" w:rsidR="0012290E" w:rsidRDefault="003B6355">
      <w:pPr>
        <w:pStyle w:val="ListParagraph"/>
        <w:numPr>
          <w:ilvl w:val="2"/>
          <w:numId w:val="10"/>
        </w:numPr>
        <w:tabs>
          <w:tab w:val="left" w:pos="1238"/>
          <w:tab w:val="left" w:pos="1239"/>
        </w:tabs>
        <w:spacing w:before="20"/>
        <w:ind w:left="1238" w:hanging="360"/>
        <w:rPr>
          <w:sz w:val="24"/>
        </w:rPr>
      </w:pPr>
      <w:r>
        <w:rPr>
          <w:sz w:val="24"/>
        </w:rPr>
        <w:t>Access to learning</w:t>
      </w:r>
      <w:r>
        <w:rPr>
          <w:spacing w:val="-1"/>
          <w:sz w:val="24"/>
        </w:rPr>
        <w:t xml:space="preserve"> </w:t>
      </w:r>
      <w:r>
        <w:rPr>
          <w:sz w:val="24"/>
        </w:rPr>
        <w:t>resources</w:t>
      </w:r>
    </w:p>
    <w:p w14:paraId="7B97CDF2" w14:textId="77777777" w:rsidR="0012290E" w:rsidRDefault="003B6355">
      <w:pPr>
        <w:pStyle w:val="ListParagraph"/>
        <w:numPr>
          <w:ilvl w:val="2"/>
          <w:numId w:val="10"/>
        </w:numPr>
        <w:tabs>
          <w:tab w:val="left" w:pos="1238"/>
          <w:tab w:val="left" w:pos="1239"/>
        </w:tabs>
        <w:spacing w:before="21"/>
        <w:ind w:left="1238" w:hanging="360"/>
        <w:rPr>
          <w:sz w:val="24"/>
        </w:rPr>
      </w:pPr>
      <w:r>
        <w:rPr>
          <w:sz w:val="24"/>
        </w:rPr>
        <w:t>Academic support</w:t>
      </w:r>
    </w:p>
    <w:p w14:paraId="09C4C643" w14:textId="77777777" w:rsidR="0012290E" w:rsidRDefault="003B6355">
      <w:pPr>
        <w:pStyle w:val="ListParagraph"/>
        <w:numPr>
          <w:ilvl w:val="2"/>
          <w:numId w:val="10"/>
        </w:numPr>
        <w:tabs>
          <w:tab w:val="left" w:pos="1238"/>
          <w:tab w:val="left" w:pos="1239"/>
        </w:tabs>
        <w:spacing w:before="20"/>
        <w:ind w:left="1238" w:hanging="360"/>
        <w:rPr>
          <w:sz w:val="24"/>
        </w:rPr>
      </w:pPr>
      <w:r>
        <w:rPr>
          <w:sz w:val="24"/>
        </w:rPr>
        <w:t>Pastoral</w:t>
      </w:r>
      <w:r>
        <w:rPr>
          <w:spacing w:val="-1"/>
          <w:sz w:val="24"/>
        </w:rPr>
        <w:t xml:space="preserve"> </w:t>
      </w:r>
      <w:r>
        <w:rPr>
          <w:sz w:val="24"/>
        </w:rPr>
        <w:t>support</w:t>
      </w:r>
    </w:p>
    <w:p w14:paraId="5CF6A9DE" w14:textId="77777777" w:rsidR="0012290E" w:rsidRDefault="003B6355">
      <w:pPr>
        <w:pStyle w:val="ListParagraph"/>
        <w:numPr>
          <w:ilvl w:val="2"/>
          <w:numId w:val="10"/>
        </w:numPr>
        <w:tabs>
          <w:tab w:val="left" w:pos="1238"/>
          <w:tab w:val="left" w:pos="1239"/>
        </w:tabs>
        <w:spacing w:before="20"/>
        <w:ind w:left="1238" w:hanging="360"/>
        <w:rPr>
          <w:sz w:val="24"/>
        </w:rPr>
      </w:pPr>
      <w:r>
        <w:rPr>
          <w:sz w:val="24"/>
        </w:rPr>
        <w:t>Supervision arrangements for work-based learning</w:t>
      </w:r>
      <w:r>
        <w:rPr>
          <w:spacing w:val="-1"/>
          <w:sz w:val="24"/>
        </w:rPr>
        <w:t xml:space="preserve"> </w:t>
      </w:r>
      <w:r>
        <w:rPr>
          <w:sz w:val="24"/>
        </w:rPr>
        <w:t>components.</w:t>
      </w:r>
    </w:p>
    <w:p w14:paraId="7DDF85F5" w14:textId="77777777" w:rsidR="0012290E" w:rsidRDefault="003B6355" w:rsidP="003C7A06">
      <w:pPr>
        <w:pStyle w:val="ListParagraph"/>
        <w:numPr>
          <w:ilvl w:val="1"/>
          <w:numId w:val="10"/>
        </w:numPr>
        <w:tabs>
          <w:tab w:val="left" w:pos="474"/>
        </w:tabs>
        <w:spacing w:before="62" w:line="259" w:lineRule="auto"/>
        <w:ind w:right="1302"/>
        <w:rPr>
          <w:sz w:val="24"/>
        </w:rPr>
      </w:pPr>
      <w:r>
        <w:rPr>
          <w:sz w:val="24"/>
        </w:rPr>
        <w:t>Learner supervision within the programme</w:t>
      </w:r>
      <w:r w:rsidRPr="003C7A06">
        <w:rPr>
          <w:sz w:val="24"/>
        </w:rPr>
        <w:t xml:space="preserve"> </w:t>
      </w:r>
      <w:r>
        <w:rPr>
          <w:sz w:val="24"/>
        </w:rPr>
        <w:t>is</w:t>
      </w:r>
    </w:p>
    <w:p w14:paraId="0322FFD1" w14:textId="77777777" w:rsidR="0012290E" w:rsidRDefault="003B6355">
      <w:pPr>
        <w:pStyle w:val="ListParagraph"/>
        <w:numPr>
          <w:ilvl w:val="2"/>
          <w:numId w:val="10"/>
        </w:numPr>
        <w:tabs>
          <w:tab w:val="left" w:pos="1193"/>
          <w:tab w:val="left" w:pos="1194"/>
        </w:tabs>
        <w:spacing w:before="85"/>
        <w:ind w:left="1193" w:hanging="360"/>
        <w:rPr>
          <w:sz w:val="24"/>
        </w:rPr>
      </w:pPr>
      <w:r>
        <w:rPr>
          <w:sz w:val="24"/>
        </w:rPr>
        <w:t>Co-ordinated across the programme’s academic and work-based</w:t>
      </w:r>
      <w:r>
        <w:rPr>
          <w:spacing w:val="-11"/>
          <w:sz w:val="24"/>
        </w:rPr>
        <w:t xml:space="preserve"> </w:t>
      </w:r>
      <w:r>
        <w:rPr>
          <w:sz w:val="24"/>
        </w:rPr>
        <w:t>components</w:t>
      </w:r>
    </w:p>
    <w:p w14:paraId="70BCB97C" w14:textId="24F81618" w:rsidR="0012290E" w:rsidRDefault="003B6355">
      <w:pPr>
        <w:pStyle w:val="ListParagraph"/>
        <w:numPr>
          <w:ilvl w:val="2"/>
          <w:numId w:val="10"/>
        </w:numPr>
        <w:tabs>
          <w:tab w:val="left" w:pos="1193"/>
          <w:tab w:val="left" w:pos="1194"/>
        </w:tabs>
        <w:spacing w:before="20"/>
        <w:ind w:left="1193" w:hanging="360"/>
        <w:rPr>
          <w:sz w:val="24"/>
        </w:rPr>
      </w:pPr>
      <w:r>
        <w:rPr>
          <w:sz w:val="24"/>
        </w:rPr>
        <w:t>Appropriate to each learning and teaching component and their</w:t>
      </w:r>
      <w:r>
        <w:rPr>
          <w:spacing w:val="-9"/>
          <w:sz w:val="24"/>
        </w:rPr>
        <w:t xml:space="preserve"> </w:t>
      </w:r>
      <w:r>
        <w:rPr>
          <w:sz w:val="24"/>
        </w:rPr>
        <w:t>integration</w:t>
      </w:r>
    </w:p>
    <w:p w14:paraId="1324AB9C" w14:textId="77777777" w:rsidR="0012290E" w:rsidRDefault="003B6355">
      <w:pPr>
        <w:pStyle w:val="ListParagraph"/>
        <w:numPr>
          <w:ilvl w:val="2"/>
          <w:numId w:val="10"/>
        </w:numPr>
        <w:tabs>
          <w:tab w:val="left" w:pos="1193"/>
          <w:tab w:val="left" w:pos="1194"/>
        </w:tabs>
        <w:spacing w:before="21"/>
        <w:ind w:left="1193" w:hanging="360"/>
        <w:rPr>
          <w:sz w:val="24"/>
        </w:rPr>
      </w:pPr>
      <w:r>
        <w:rPr>
          <w:sz w:val="24"/>
        </w:rPr>
        <w:t>Focused on managing risk and upholding patient</w:t>
      </w:r>
      <w:r>
        <w:rPr>
          <w:spacing w:val="-5"/>
          <w:sz w:val="24"/>
        </w:rPr>
        <w:t xml:space="preserve"> </w:t>
      </w:r>
      <w:r>
        <w:rPr>
          <w:sz w:val="24"/>
        </w:rPr>
        <w:t>safety</w:t>
      </w:r>
    </w:p>
    <w:p w14:paraId="00D836E6" w14:textId="47B7D442" w:rsidR="0012290E" w:rsidRDefault="003B6355">
      <w:pPr>
        <w:pStyle w:val="ListParagraph"/>
        <w:numPr>
          <w:ilvl w:val="2"/>
          <w:numId w:val="10"/>
        </w:numPr>
        <w:tabs>
          <w:tab w:val="left" w:pos="1193"/>
          <w:tab w:val="left" w:pos="1194"/>
        </w:tabs>
        <w:spacing w:before="20" w:line="256" w:lineRule="auto"/>
        <w:ind w:left="1193" w:right="673" w:hanging="360"/>
        <w:rPr>
          <w:sz w:val="24"/>
        </w:rPr>
      </w:pPr>
      <w:r>
        <w:rPr>
          <w:sz w:val="24"/>
        </w:rPr>
        <w:lastRenderedPageBreak/>
        <w:t>Responsive to learners’ needs at each stage of the programme and to their learning</w:t>
      </w:r>
      <w:r>
        <w:rPr>
          <w:spacing w:val="-1"/>
          <w:sz w:val="24"/>
        </w:rPr>
        <w:t xml:space="preserve"> </w:t>
      </w:r>
      <w:r>
        <w:rPr>
          <w:sz w:val="24"/>
        </w:rPr>
        <w:t>progression.</w:t>
      </w:r>
    </w:p>
    <w:p w14:paraId="01BEC404" w14:textId="2E87F2B9" w:rsidR="0012290E" w:rsidRDefault="003B6355" w:rsidP="003C7A06">
      <w:pPr>
        <w:pStyle w:val="ListParagraph"/>
        <w:numPr>
          <w:ilvl w:val="1"/>
          <w:numId w:val="10"/>
        </w:numPr>
        <w:tabs>
          <w:tab w:val="left" w:pos="474"/>
        </w:tabs>
        <w:spacing w:before="62" w:line="259" w:lineRule="auto"/>
        <w:ind w:right="1302"/>
        <w:rPr>
          <w:sz w:val="24"/>
        </w:rPr>
      </w:pPr>
      <w:r>
        <w:rPr>
          <w:sz w:val="24"/>
        </w:rPr>
        <w:t>Learners receive regular feedback on their</w:t>
      </w:r>
      <w:r w:rsidRPr="003C7A06">
        <w:rPr>
          <w:sz w:val="24"/>
        </w:rPr>
        <w:t xml:space="preserve"> </w:t>
      </w:r>
      <w:r>
        <w:rPr>
          <w:sz w:val="24"/>
        </w:rPr>
        <w:t>progress</w:t>
      </w:r>
      <w:r w:rsidR="00614400">
        <w:rPr>
          <w:sz w:val="24"/>
        </w:rPr>
        <w:t>:</w:t>
      </w:r>
    </w:p>
    <w:p w14:paraId="0E72723F" w14:textId="77777777" w:rsidR="0012290E" w:rsidRDefault="003B6355">
      <w:pPr>
        <w:pStyle w:val="ListParagraph"/>
        <w:numPr>
          <w:ilvl w:val="2"/>
          <w:numId w:val="9"/>
        </w:numPr>
        <w:tabs>
          <w:tab w:val="left" w:pos="1298"/>
          <w:tab w:val="left" w:pos="1299"/>
        </w:tabs>
        <w:spacing w:before="1"/>
        <w:ind w:hanging="465"/>
        <w:rPr>
          <w:sz w:val="24"/>
        </w:rPr>
      </w:pPr>
      <w:r>
        <w:rPr>
          <w:sz w:val="24"/>
        </w:rPr>
        <w:t>In both the academic and work-based components of their</w:t>
      </w:r>
      <w:r>
        <w:rPr>
          <w:spacing w:val="-5"/>
          <w:sz w:val="24"/>
        </w:rPr>
        <w:t xml:space="preserve"> </w:t>
      </w:r>
      <w:r>
        <w:rPr>
          <w:sz w:val="24"/>
        </w:rPr>
        <w:t>learning</w:t>
      </w:r>
    </w:p>
    <w:p w14:paraId="5795A0FB" w14:textId="79FA99C1" w:rsidR="0012290E" w:rsidRDefault="004A18F9">
      <w:pPr>
        <w:pStyle w:val="ListParagraph"/>
        <w:numPr>
          <w:ilvl w:val="2"/>
          <w:numId w:val="9"/>
        </w:numPr>
        <w:tabs>
          <w:tab w:val="left" w:pos="1298"/>
          <w:tab w:val="left" w:pos="1299"/>
        </w:tabs>
        <w:spacing w:before="82"/>
        <w:ind w:hanging="465"/>
        <w:rPr>
          <w:sz w:val="24"/>
        </w:rPr>
      </w:pPr>
      <w:r>
        <w:rPr>
          <w:sz w:val="24"/>
        </w:rPr>
        <w:t>I</w:t>
      </w:r>
      <w:r w:rsidR="003B6355">
        <w:rPr>
          <w:sz w:val="24"/>
        </w:rPr>
        <w:t>n areas for their on-going professional</w:t>
      </w:r>
      <w:r w:rsidR="003B6355">
        <w:rPr>
          <w:spacing w:val="-6"/>
          <w:sz w:val="24"/>
        </w:rPr>
        <w:t xml:space="preserve"> </w:t>
      </w:r>
      <w:r w:rsidR="003B6355">
        <w:rPr>
          <w:sz w:val="24"/>
        </w:rPr>
        <w:t>development.</w:t>
      </w:r>
    </w:p>
    <w:p w14:paraId="224D9052" w14:textId="30776F09" w:rsidR="0012290E" w:rsidRDefault="003B6355" w:rsidP="003C7A06">
      <w:pPr>
        <w:pStyle w:val="ListParagraph"/>
        <w:numPr>
          <w:ilvl w:val="1"/>
          <w:numId w:val="10"/>
        </w:numPr>
        <w:tabs>
          <w:tab w:val="left" w:pos="474"/>
        </w:tabs>
        <w:spacing w:before="62" w:line="259" w:lineRule="auto"/>
        <w:ind w:right="1302"/>
        <w:rPr>
          <w:sz w:val="24"/>
        </w:rPr>
      </w:pPr>
      <w:r>
        <w:rPr>
          <w:sz w:val="24"/>
        </w:rPr>
        <w:t>The maximum duration for learners’ enrolment on the programme to complete it successfully is clear and implemented in line with the education</w:t>
      </w:r>
      <w:r w:rsidRPr="003C7A06">
        <w:rPr>
          <w:sz w:val="24"/>
        </w:rPr>
        <w:t xml:space="preserve"> </w:t>
      </w:r>
      <w:r>
        <w:rPr>
          <w:sz w:val="24"/>
        </w:rPr>
        <w:t>provider’s</w:t>
      </w:r>
      <w:r w:rsidR="00614400">
        <w:rPr>
          <w:sz w:val="24"/>
        </w:rPr>
        <w:t>:</w:t>
      </w:r>
    </w:p>
    <w:p w14:paraId="14A64E64" w14:textId="77777777" w:rsidR="0012290E" w:rsidRDefault="003B6355">
      <w:pPr>
        <w:pStyle w:val="ListParagraph"/>
        <w:numPr>
          <w:ilvl w:val="2"/>
          <w:numId w:val="9"/>
        </w:numPr>
        <w:tabs>
          <w:tab w:val="left" w:pos="1298"/>
          <w:tab w:val="left" w:pos="1299"/>
        </w:tabs>
        <w:ind w:hanging="465"/>
        <w:rPr>
          <w:sz w:val="24"/>
        </w:rPr>
      </w:pPr>
      <w:r>
        <w:rPr>
          <w:sz w:val="24"/>
        </w:rPr>
        <w:t>Standard regulations</w:t>
      </w:r>
    </w:p>
    <w:p w14:paraId="4B1A196F" w14:textId="77777777" w:rsidR="0012290E" w:rsidRDefault="003B6355">
      <w:pPr>
        <w:pStyle w:val="ListParagraph"/>
        <w:numPr>
          <w:ilvl w:val="2"/>
          <w:numId w:val="9"/>
        </w:numPr>
        <w:tabs>
          <w:tab w:val="left" w:pos="1298"/>
          <w:tab w:val="left" w:pos="1299"/>
        </w:tabs>
        <w:spacing w:before="18"/>
        <w:ind w:hanging="465"/>
        <w:rPr>
          <w:sz w:val="24"/>
        </w:rPr>
      </w:pPr>
      <w:r>
        <w:rPr>
          <w:sz w:val="24"/>
        </w:rPr>
        <w:t>Any programme-specific</w:t>
      </w:r>
      <w:r>
        <w:rPr>
          <w:spacing w:val="-2"/>
          <w:sz w:val="24"/>
        </w:rPr>
        <w:t xml:space="preserve"> </w:t>
      </w:r>
      <w:r>
        <w:rPr>
          <w:sz w:val="24"/>
        </w:rPr>
        <w:t>regulations</w:t>
      </w:r>
    </w:p>
    <w:p w14:paraId="434E9FA0" w14:textId="77777777" w:rsidR="0012290E" w:rsidRDefault="003B6355">
      <w:pPr>
        <w:pStyle w:val="ListParagraph"/>
        <w:numPr>
          <w:ilvl w:val="2"/>
          <w:numId w:val="9"/>
        </w:numPr>
        <w:tabs>
          <w:tab w:val="left" w:pos="1298"/>
          <w:tab w:val="left" w:pos="1299"/>
        </w:tabs>
        <w:spacing w:before="21"/>
        <w:ind w:hanging="465"/>
        <w:rPr>
          <w:sz w:val="24"/>
        </w:rPr>
      </w:pPr>
      <w:r>
        <w:rPr>
          <w:sz w:val="24"/>
        </w:rPr>
        <w:t>Protocols for approving interruptions to</w:t>
      </w:r>
      <w:r>
        <w:rPr>
          <w:spacing w:val="-5"/>
          <w:sz w:val="24"/>
        </w:rPr>
        <w:t xml:space="preserve"> </w:t>
      </w:r>
      <w:r>
        <w:rPr>
          <w:sz w:val="24"/>
        </w:rPr>
        <w:t>enrolment</w:t>
      </w:r>
    </w:p>
    <w:p w14:paraId="3A4E90F8" w14:textId="77777777" w:rsidR="0012290E" w:rsidRDefault="003B6355">
      <w:pPr>
        <w:pStyle w:val="ListParagraph"/>
        <w:numPr>
          <w:ilvl w:val="2"/>
          <w:numId w:val="9"/>
        </w:numPr>
        <w:tabs>
          <w:tab w:val="left" w:pos="1298"/>
          <w:tab w:val="left" w:pos="1299"/>
        </w:tabs>
        <w:spacing w:before="20"/>
        <w:ind w:hanging="465"/>
        <w:rPr>
          <w:sz w:val="24"/>
        </w:rPr>
      </w:pPr>
      <w:r>
        <w:rPr>
          <w:sz w:val="24"/>
        </w:rPr>
        <w:t>Arrangements to ensure all individuals’ learning remains</w:t>
      </w:r>
      <w:r>
        <w:rPr>
          <w:spacing w:val="-2"/>
          <w:sz w:val="24"/>
        </w:rPr>
        <w:t xml:space="preserve"> </w:t>
      </w:r>
      <w:r>
        <w:rPr>
          <w:sz w:val="24"/>
        </w:rPr>
        <w:t>current.</w:t>
      </w:r>
    </w:p>
    <w:p w14:paraId="731C5DBF" w14:textId="77777777" w:rsidR="0012290E" w:rsidRDefault="003B6355" w:rsidP="003C7A06">
      <w:pPr>
        <w:pStyle w:val="ListParagraph"/>
        <w:numPr>
          <w:ilvl w:val="1"/>
          <w:numId w:val="10"/>
        </w:numPr>
        <w:tabs>
          <w:tab w:val="left" w:pos="474"/>
        </w:tabs>
        <w:spacing w:before="62" w:line="259" w:lineRule="auto"/>
        <w:ind w:right="1302"/>
        <w:rPr>
          <w:sz w:val="24"/>
        </w:rPr>
      </w:pPr>
      <w:r>
        <w:rPr>
          <w:sz w:val="24"/>
        </w:rPr>
        <w:t>Learners know how to raise concerns about the quality of the programme through accessible, clear processes.</w:t>
      </w:r>
    </w:p>
    <w:p w14:paraId="2245588E" w14:textId="77777777" w:rsidR="0012290E" w:rsidRDefault="003B6355" w:rsidP="003C7A06">
      <w:pPr>
        <w:pStyle w:val="ListParagraph"/>
        <w:numPr>
          <w:ilvl w:val="1"/>
          <w:numId w:val="10"/>
        </w:numPr>
        <w:tabs>
          <w:tab w:val="left" w:pos="474"/>
        </w:tabs>
        <w:spacing w:before="62" w:line="259" w:lineRule="auto"/>
        <w:ind w:right="1302"/>
        <w:rPr>
          <w:sz w:val="24"/>
        </w:rPr>
      </w:pPr>
      <w:r>
        <w:rPr>
          <w:sz w:val="24"/>
        </w:rPr>
        <w:t>Learners know how to raise concerns about potential risks to patients or staff in a work-based setting in which they undertake programme</w:t>
      </w:r>
      <w:r w:rsidRPr="003C7A06">
        <w:rPr>
          <w:sz w:val="24"/>
        </w:rPr>
        <w:t xml:space="preserve"> </w:t>
      </w:r>
      <w:r>
        <w:rPr>
          <w:sz w:val="24"/>
        </w:rPr>
        <w:t>learning.</w:t>
      </w:r>
    </w:p>
    <w:p w14:paraId="59631647" w14:textId="77777777" w:rsidR="0012290E" w:rsidRDefault="003B6355" w:rsidP="003C7A06">
      <w:pPr>
        <w:pStyle w:val="ListParagraph"/>
        <w:numPr>
          <w:ilvl w:val="1"/>
          <w:numId w:val="10"/>
        </w:numPr>
        <w:tabs>
          <w:tab w:val="left" w:pos="474"/>
        </w:tabs>
        <w:spacing w:before="62" w:line="259" w:lineRule="auto"/>
        <w:ind w:right="1302"/>
        <w:rPr>
          <w:sz w:val="24"/>
        </w:rPr>
      </w:pPr>
      <w:r>
        <w:rPr>
          <w:sz w:val="24"/>
        </w:rPr>
        <w:t>Learners know how to access and use the education provider’s student appeals process.</w:t>
      </w:r>
    </w:p>
    <w:p w14:paraId="495A81B3" w14:textId="77777777" w:rsidR="0012290E" w:rsidRDefault="0012290E">
      <w:pPr>
        <w:pStyle w:val="BodyText"/>
        <w:rPr>
          <w:sz w:val="29"/>
        </w:rPr>
      </w:pPr>
    </w:p>
    <w:p w14:paraId="302E9D0D" w14:textId="1B979043" w:rsidR="0012290E" w:rsidRPr="0076540E" w:rsidRDefault="003B6355">
      <w:pPr>
        <w:pStyle w:val="Heading2"/>
        <w:rPr>
          <w:b/>
          <w:bCs/>
          <w:sz w:val="24"/>
          <w:szCs w:val="24"/>
        </w:rPr>
      </w:pPr>
      <w:bookmarkStart w:id="9" w:name="_Toc34395798"/>
      <w:r w:rsidRPr="0076540E">
        <w:rPr>
          <w:b/>
          <w:bCs/>
          <w:spacing w:val="11"/>
          <w:sz w:val="24"/>
          <w:szCs w:val="24"/>
        </w:rPr>
        <w:t xml:space="preserve">Domain </w:t>
      </w:r>
      <w:r w:rsidRPr="0076540E">
        <w:rPr>
          <w:b/>
          <w:bCs/>
          <w:spacing w:val="7"/>
          <w:sz w:val="24"/>
          <w:szCs w:val="24"/>
        </w:rPr>
        <w:t xml:space="preserve">3: </w:t>
      </w:r>
      <w:r w:rsidR="003C7A06" w:rsidRPr="0076540E">
        <w:rPr>
          <w:b/>
          <w:bCs/>
          <w:spacing w:val="13"/>
          <w:sz w:val="24"/>
          <w:szCs w:val="24"/>
        </w:rPr>
        <w:t>Learning in the workplace</w:t>
      </w:r>
      <w:bookmarkEnd w:id="9"/>
    </w:p>
    <w:p w14:paraId="6CD4B4AD" w14:textId="25DF74EC" w:rsidR="00266C9A" w:rsidRPr="00AE3693" w:rsidRDefault="003B6355" w:rsidP="00AE3693">
      <w:pPr>
        <w:pStyle w:val="ListParagraph"/>
        <w:numPr>
          <w:ilvl w:val="1"/>
          <w:numId w:val="8"/>
        </w:numPr>
        <w:tabs>
          <w:tab w:val="left" w:pos="474"/>
        </w:tabs>
        <w:spacing w:before="162" w:line="259" w:lineRule="auto"/>
        <w:ind w:right="1249"/>
        <w:rPr>
          <w:sz w:val="24"/>
        </w:rPr>
      </w:pPr>
      <w:r>
        <w:rPr>
          <w:sz w:val="24"/>
        </w:rPr>
        <w:t>The programme is demonstrably responsive to employers’ requirements and expectations in its design and</w:t>
      </w:r>
      <w:r>
        <w:rPr>
          <w:spacing w:val="-3"/>
          <w:sz w:val="24"/>
        </w:rPr>
        <w:t xml:space="preserve"> </w:t>
      </w:r>
      <w:r>
        <w:rPr>
          <w:sz w:val="24"/>
        </w:rPr>
        <w:t>delivery.</w:t>
      </w:r>
    </w:p>
    <w:p w14:paraId="4E6E98E6" w14:textId="027F97E0" w:rsidR="00994C67" w:rsidRPr="00AE3693" w:rsidRDefault="00AE3693" w:rsidP="00AE3693">
      <w:pPr>
        <w:pStyle w:val="ListParagraph"/>
        <w:numPr>
          <w:ilvl w:val="1"/>
          <w:numId w:val="8"/>
        </w:numPr>
        <w:tabs>
          <w:tab w:val="left" w:pos="474"/>
        </w:tabs>
        <w:spacing w:line="259" w:lineRule="auto"/>
        <w:ind w:right="889"/>
        <w:rPr>
          <w:sz w:val="24"/>
          <w:szCs w:val="24"/>
        </w:rPr>
      </w:pPr>
      <w:r w:rsidRPr="00AE3693">
        <w:rPr>
          <w:sz w:val="24"/>
          <w:szCs w:val="24"/>
        </w:rPr>
        <w:t xml:space="preserve">The assessment of </w:t>
      </w:r>
      <w:r w:rsidR="00ED04B9">
        <w:rPr>
          <w:sz w:val="24"/>
          <w:szCs w:val="24"/>
        </w:rPr>
        <w:t xml:space="preserve">the </w:t>
      </w:r>
      <w:r w:rsidRPr="00AE3693">
        <w:rPr>
          <w:sz w:val="24"/>
          <w:szCs w:val="24"/>
        </w:rPr>
        <w:t>learning in the work</w:t>
      </w:r>
      <w:r w:rsidR="00097A18">
        <w:rPr>
          <w:sz w:val="24"/>
          <w:szCs w:val="24"/>
        </w:rPr>
        <w:t>-</w:t>
      </w:r>
      <w:r w:rsidRPr="00AE3693">
        <w:rPr>
          <w:sz w:val="24"/>
          <w:szCs w:val="24"/>
        </w:rPr>
        <w:t xml:space="preserve">place component is clearly articulated in the programme specification and </w:t>
      </w:r>
      <w:r w:rsidR="00097A18">
        <w:rPr>
          <w:sz w:val="24"/>
          <w:szCs w:val="24"/>
        </w:rPr>
        <w:t xml:space="preserve">how </w:t>
      </w:r>
      <w:r>
        <w:rPr>
          <w:sz w:val="24"/>
          <w:szCs w:val="24"/>
        </w:rPr>
        <w:t>this component</w:t>
      </w:r>
      <w:r w:rsidRPr="00AE3693">
        <w:rPr>
          <w:sz w:val="24"/>
          <w:szCs w:val="24"/>
        </w:rPr>
        <w:t xml:space="preserve"> contributes to the overall award.</w:t>
      </w:r>
    </w:p>
    <w:p w14:paraId="7F33962F" w14:textId="5E982CE4" w:rsidR="0012290E" w:rsidRDefault="003B6355">
      <w:pPr>
        <w:pStyle w:val="ListParagraph"/>
        <w:numPr>
          <w:ilvl w:val="1"/>
          <w:numId w:val="8"/>
        </w:numPr>
        <w:tabs>
          <w:tab w:val="left" w:pos="474"/>
        </w:tabs>
        <w:spacing w:line="259" w:lineRule="auto"/>
        <w:ind w:right="889"/>
        <w:rPr>
          <w:sz w:val="24"/>
        </w:rPr>
      </w:pPr>
      <w:r>
        <w:rPr>
          <w:sz w:val="24"/>
        </w:rPr>
        <w:t>Employer</w:t>
      </w:r>
      <w:r w:rsidR="003733B8">
        <w:rPr>
          <w:sz w:val="24"/>
        </w:rPr>
        <w:t xml:space="preserve"> and Service Commissioner</w:t>
      </w:r>
      <w:r>
        <w:rPr>
          <w:sz w:val="24"/>
        </w:rPr>
        <w:t xml:space="preserve"> perspectives are actively sought at all programme stages, including in relation to</w:t>
      </w:r>
      <w:r w:rsidR="00614400">
        <w:rPr>
          <w:sz w:val="24"/>
        </w:rPr>
        <w:t>:</w:t>
      </w:r>
    </w:p>
    <w:p w14:paraId="791590D7" w14:textId="77777777" w:rsidR="0012290E" w:rsidRDefault="003B6355">
      <w:pPr>
        <w:pStyle w:val="ListParagraph"/>
        <w:numPr>
          <w:ilvl w:val="2"/>
          <w:numId w:val="8"/>
        </w:numPr>
        <w:tabs>
          <w:tab w:val="left" w:pos="1193"/>
          <w:tab w:val="left" w:pos="1194"/>
        </w:tabs>
        <w:spacing w:before="65" w:line="256" w:lineRule="auto"/>
        <w:ind w:right="489"/>
        <w:rPr>
          <w:sz w:val="24"/>
        </w:rPr>
      </w:pPr>
      <w:r>
        <w:rPr>
          <w:sz w:val="24"/>
        </w:rPr>
        <w:t>Priority learning and development areas to meet patient, service delivery and workforce development</w:t>
      </w:r>
      <w:r>
        <w:rPr>
          <w:spacing w:val="2"/>
          <w:sz w:val="24"/>
        </w:rPr>
        <w:t xml:space="preserve"> </w:t>
      </w:r>
      <w:r>
        <w:rPr>
          <w:sz w:val="24"/>
        </w:rPr>
        <w:t>needs</w:t>
      </w:r>
    </w:p>
    <w:p w14:paraId="4B628D67" w14:textId="1DE986DD" w:rsidR="0012290E" w:rsidRDefault="003B6355">
      <w:pPr>
        <w:pStyle w:val="ListParagraph"/>
        <w:numPr>
          <w:ilvl w:val="2"/>
          <w:numId w:val="8"/>
        </w:numPr>
        <w:tabs>
          <w:tab w:val="left" w:pos="1193"/>
          <w:tab w:val="left" w:pos="1194"/>
        </w:tabs>
        <w:spacing w:before="65"/>
        <w:rPr>
          <w:sz w:val="24"/>
        </w:rPr>
      </w:pPr>
      <w:r>
        <w:rPr>
          <w:sz w:val="24"/>
        </w:rPr>
        <w:t xml:space="preserve">Optimising support for </w:t>
      </w:r>
      <w:r w:rsidR="0012008A">
        <w:rPr>
          <w:sz w:val="24"/>
        </w:rPr>
        <w:t>learning in the workplace</w:t>
      </w:r>
    </w:p>
    <w:p w14:paraId="1ED787A7" w14:textId="10488352" w:rsidR="0012290E" w:rsidRDefault="003B6355">
      <w:pPr>
        <w:pStyle w:val="ListParagraph"/>
        <w:numPr>
          <w:ilvl w:val="2"/>
          <w:numId w:val="8"/>
        </w:numPr>
        <w:tabs>
          <w:tab w:val="left" w:pos="1193"/>
          <w:tab w:val="left" w:pos="1194"/>
        </w:tabs>
        <w:spacing w:before="85" w:line="256" w:lineRule="auto"/>
        <w:ind w:right="568"/>
        <w:rPr>
          <w:sz w:val="24"/>
        </w:rPr>
      </w:pPr>
      <w:r>
        <w:rPr>
          <w:sz w:val="24"/>
        </w:rPr>
        <w:t xml:space="preserve">Communication between the learner, </w:t>
      </w:r>
      <w:r w:rsidR="00097A18">
        <w:rPr>
          <w:sz w:val="24"/>
        </w:rPr>
        <w:t>work-based learning</w:t>
      </w:r>
      <w:r>
        <w:rPr>
          <w:sz w:val="24"/>
        </w:rPr>
        <w:t xml:space="preserve"> supervisor(s) and education</w:t>
      </w:r>
      <w:r>
        <w:rPr>
          <w:spacing w:val="-1"/>
          <w:sz w:val="24"/>
        </w:rPr>
        <w:t xml:space="preserve"> </w:t>
      </w:r>
      <w:r>
        <w:rPr>
          <w:sz w:val="24"/>
        </w:rPr>
        <w:t>provider</w:t>
      </w:r>
    </w:p>
    <w:p w14:paraId="4D7BE656" w14:textId="636351EA" w:rsidR="0012290E" w:rsidRDefault="003B6355">
      <w:pPr>
        <w:pStyle w:val="ListParagraph"/>
        <w:numPr>
          <w:ilvl w:val="2"/>
          <w:numId w:val="8"/>
        </w:numPr>
        <w:tabs>
          <w:tab w:val="left" w:pos="1193"/>
          <w:tab w:val="left" w:pos="1194"/>
        </w:tabs>
        <w:spacing w:before="67"/>
        <w:rPr>
          <w:sz w:val="24"/>
        </w:rPr>
      </w:pPr>
      <w:r>
        <w:rPr>
          <w:sz w:val="24"/>
        </w:rPr>
        <w:t xml:space="preserve">Overcoming potential barriers to </w:t>
      </w:r>
      <w:r w:rsidR="00717E48">
        <w:rPr>
          <w:sz w:val="24"/>
        </w:rPr>
        <w:t xml:space="preserve">learning in </w:t>
      </w:r>
      <w:r w:rsidR="005220F6">
        <w:rPr>
          <w:sz w:val="24"/>
        </w:rPr>
        <w:t xml:space="preserve">the </w:t>
      </w:r>
      <w:r w:rsidR="00961F72">
        <w:rPr>
          <w:sz w:val="24"/>
        </w:rPr>
        <w:t>workplace and</w:t>
      </w:r>
      <w:r>
        <w:rPr>
          <w:sz w:val="24"/>
        </w:rPr>
        <w:t xml:space="preserve"> its</w:t>
      </w:r>
      <w:r>
        <w:rPr>
          <w:spacing w:val="-5"/>
          <w:sz w:val="24"/>
        </w:rPr>
        <w:t xml:space="preserve"> </w:t>
      </w:r>
      <w:r>
        <w:rPr>
          <w:sz w:val="24"/>
        </w:rPr>
        <w:t>quality</w:t>
      </w:r>
    </w:p>
    <w:p w14:paraId="254054D3" w14:textId="611E66EB" w:rsidR="0012290E" w:rsidRDefault="003B6355">
      <w:pPr>
        <w:pStyle w:val="ListParagraph"/>
        <w:numPr>
          <w:ilvl w:val="1"/>
          <w:numId w:val="8"/>
        </w:numPr>
        <w:tabs>
          <w:tab w:val="left" w:pos="474"/>
        </w:tabs>
        <w:spacing w:before="82" w:line="259" w:lineRule="auto"/>
        <w:ind w:right="849"/>
        <w:rPr>
          <w:sz w:val="24"/>
        </w:rPr>
      </w:pPr>
      <w:r>
        <w:rPr>
          <w:sz w:val="24"/>
        </w:rPr>
        <w:t xml:space="preserve">The programme team keeps </w:t>
      </w:r>
      <w:r w:rsidR="008D6DD2">
        <w:rPr>
          <w:sz w:val="24"/>
        </w:rPr>
        <w:t>the individual’</w:t>
      </w:r>
      <w:r w:rsidR="004F0789">
        <w:rPr>
          <w:sz w:val="24"/>
        </w:rPr>
        <w:t>s l</w:t>
      </w:r>
      <w:r w:rsidR="008D6DD2">
        <w:rPr>
          <w:sz w:val="24"/>
        </w:rPr>
        <w:t>earning in the workplace</w:t>
      </w:r>
      <w:r>
        <w:rPr>
          <w:sz w:val="24"/>
        </w:rPr>
        <w:t xml:space="preserve"> under regular review and has processes in place to address emergent issues and</w:t>
      </w:r>
      <w:r>
        <w:rPr>
          <w:spacing w:val="-15"/>
          <w:sz w:val="24"/>
        </w:rPr>
        <w:t xml:space="preserve"> </w:t>
      </w:r>
      <w:r>
        <w:rPr>
          <w:sz w:val="24"/>
        </w:rPr>
        <w:t>needs</w:t>
      </w:r>
      <w:r w:rsidR="003D5030">
        <w:rPr>
          <w:sz w:val="24"/>
        </w:rPr>
        <w:t>.</w:t>
      </w:r>
    </w:p>
    <w:p w14:paraId="162A67E5" w14:textId="31607A6B" w:rsidR="003D5030" w:rsidRDefault="003B6355" w:rsidP="003D5030">
      <w:pPr>
        <w:pStyle w:val="ListParagraph"/>
        <w:numPr>
          <w:ilvl w:val="1"/>
          <w:numId w:val="8"/>
        </w:numPr>
        <w:tabs>
          <w:tab w:val="left" w:pos="474"/>
        </w:tabs>
        <w:spacing w:before="93" w:line="259" w:lineRule="auto"/>
        <w:ind w:right="210"/>
        <w:rPr>
          <w:sz w:val="24"/>
        </w:rPr>
      </w:pPr>
      <w:r>
        <w:rPr>
          <w:sz w:val="24"/>
        </w:rPr>
        <w:t xml:space="preserve">The learning </w:t>
      </w:r>
      <w:r w:rsidR="00046491">
        <w:rPr>
          <w:sz w:val="24"/>
        </w:rPr>
        <w:t xml:space="preserve">in the workplace </w:t>
      </w:r>
      <w:r>
        <w:rPr>
          <w:sz w:val="24"/>
        </w:rPr>
        <w:t>experience created within the programme is appropriate to the breadth of learners’ individual needs while being in line with the programme’s intended learning outcomes.</w:t>
      </w:r>
    </w:p>
    <w:p w14:paraId="2AD46BF7" w14:textId="157C3DBF" w:rsidR="0012290E" w:rsidRPr="003D5030" w:rsidRDefault="003B6355" w:rsidP="003D5030">
      <w:pPr>
        <w:pStyle w:val="ListParagraph"/>
        <w:numPr>
          <w:ilvl w:val="1"/>
          <w:numId w:val="8"/>
        </w:numPr>
        <w:tabs>
          <w:tab w:val="left" w:pos="474"/>
        </w:tabs>
        <w:spacing w:before="93" w:line="259" w:lineRule="auto"/>
        <w:ind w:right="210"/>
        <w:rPr>
          <w:sz w:val="24"/>
        </w:rPr>
      </w:pPr>
      <w:r w:rsidRPr="003D5030">
        <w:rPr>
          <w:sz w:val="24"/>
        </w:rPr>
        <w:t>Each learner has a designated supervisor/s for the programme’s duration</w:t>
      </w:r>
      <w:r w:rsidRPr="003D5030">
        <w:rPr>
          <w:spacing w:val="-9"/>
          <w:sz w:val="24"/>
        </w:rPr>
        <w:t xml:space="preserve"> </w:t>
      </w:r>
      <w:r w:rsidRPr="003D5030">
        <w:rPr>
          <w:sz w:val="24"/>
        </w:rPr>
        <w:t>who</w:t>
      </w:r>
      <w:r w:rsidR="00614400">
        <w:rPr>
          <w:sz w:val="24"/>
        </w:rPr>
        <w:t>:</w:t>
      </w:r>
    </w:p>
    <w:p w14:paraId="323E9D07" w14:textId="357EF24E" w:rsidR="0012290E" w:rsidRDefault="003B6355">
      <w:pPr>
        <w:pStyle w:val="ListParagraph"/>
        <w:numPr>
          <w:ilvl w:val="2"/>
          <w:numId w:val="7"/>
        </w:numPr>
        <w:tabs>
          <w:tab w:val="left" w:pos="1298"/>
          <w:tab w:val="left" w:pos="1299"/>
        </w:tabs>
        <w:spacing w:before="87" w:line="256" w:lineRule="auto"/>
        <w:ind w:right="343" w:hanging="465"/>
        <w:rPr>
          <w:sz w:val="24"/>
        </w:rPr>
      </w:pPr>
      <w:r>
        <w:rPr>
          <w:sz w:val="24"/>
        </w:rPr>
        <w:t>Has the requisite personal knowledge and skill at A</w:t>
      </w:r>
      <w:r w:rsidR="00044556">
        <w:rPr>
          <w:sz w:val="24"/>
        </w:rPr>
        <w:t>dvancing Practice</w:t>
      </w:r>
      <w:r w:rsidR="00FD6684">
        <w:rPr>
          <w:sz w:val="24"/>
        </w:rPr>
        <w:t xml:space="preserve"> level</w:t>
      </w:r>
      <w:r>
        <w:rPr>
          <w:sz w:val="24"/>
        </w:rPr>
        <w:t xml:space="preserve"> to </w:t>
      </w:r>
      <w:r>
        <w:rPr>
          <w:sz w:val="24"/>
        </w:rPr>
        <w:lastRenderedPageBreak/>
        <w:t>act in this role</w:t>
      </w:r>
    </w:p>
    <w:p w14:paraId="271AD529" w14:textId="18838204" w:rsidR="0012290E" w:rsidRDefault="003B6355">
      <w:pPr>
        <w:pStyle w:val="ListParagraph"/>
        <w:numPr>
          <w:ilvl w:val="2"/>
          <w:numId w:val="7"/>
        </w:numPr>
        <w:tabs>
          <w:tab w:val="left" w:pos="1298"/>
          <w:tab w:val="left" w:pos="1299"/>
        </w:tabs>
        <w:spacing w:before="67"/>
        <w:ind w:hanging="465"/>
        <w:rPr>
          <w:sz w:val="24"/>
        </w:rPr>
      </w:pPr>
      <w:r>
        <w:rPr>
          <w:sz w:val="24"/>
        </w:rPr>
        <w:t>Can oversee and advise on individual learning needs and</w:t>
      </w:r>
      <w:r>
        <w:rPr>
          <w:spacing w:val="-6"/>
          <w:sz w:val="24"/>
        </w:rPr>
        <w:t xml:space="preserve"> </w:t>
      </w:r>
      <w:r>
        <w:rPr>
          <w:sz w:val="24"/>
        </w:rPr>
        <w:t>progression.</w:t>
      </w:r>
    </w:p>
    <w:p w14:paraId="4B704189" w14:textId="5C7469D0" w:rsidR="0012290E" w:rsidRPr="003D5030" w:rsidRDefault="003B6355" w:rsidP="003D5030">
      <w:pPr>
        <w:pStyle w:val="ListParagraph"/>
        <w:numPr>
          <w:ilvl w:val="1"/>
          <w:numId w:val="8"/>
        </w:numPr>
        <w:tabs>
          <w:tab w:val="left" w:pos="474"/>
        </w:tabs>
        <w:spacing w:before="93" w:line="259" w:lineRule="auto"/>
        <w:ind w:right="210"/>
        <w:rPr>
          <w:sz w:val="24"/>
        </w:rPr>
      </w:pPr>
      <w:r w:rsidRPr="003D5030">
        <w:rPr>
          <w:sz w:val="24"/>
        </w:rPr>
        <w:t>The programme team provides employers and supervisors with guidance on the responsibilities and expectations of taking on the supervisor role.</w:t>
      </w:r>
    </w:p>
    <w:p w14:paraId="2C8F1517" w14:textId="2738B489" w:rsidR="0012290E" w:rsidRPr="003D5030" w:rsidRDefault="003B6355" w:rsidP="003D5030">
      <w:pPr>
        <w:pStyle w:val="ListParagraph"/>
        <w:numPr>
          <w:ilvl w:val="1"/>
          <w:numId w:val="8"/>
        </w:numPr>
        <w:tabs>
          <w:tab w:val="left" w:pos="474"/>
        </w:tabs>
        <w:spacing w:before="93" w:line="259" w:lineRule="auto"/>
        <w:ind w:right="210"/>
        <w:rPr>
          <w:sz w:val="24"/>
        </w:rPr>
      </w:pPr>
      <w:r w:rsidRPr="003D5030">
        <w:rPr>
          <w:sz w:val="24"/>
        </w:rPr>
        <w:t>The programme team encourages and supports</w:t>
      </w:r>
      <w:r w:rsidR="003D5030">
        <w:rPr>
          <w:sz w:val="24"/>
        </w:rPr>
        <w:t>:</w:t>
      </w:r>
    </w:p>
    <w:p w14:paraId="0828D18D" w14:textId="77777777" w:rsidR="0012290E" w:rsidRPr="003D5030" w:rsidRDefault="003B6355" w:rsidP="003D5030">
      <w:pPr>
        <w:pStyle w:val="ListParagraph"/>
        <w:numPr>
          <w:ilvl w:val="2"/>
          <w:numId w:val="7"/>
        </w:numPr>
        <w:tabs>
          <w:tab w:val="left" w:pos="1298"/>
          <w:tab w:val="left" w:pos="1299"/>
        </w:tabs>
        <w:spacing w:before="87" w:line="256" w:lineRule="auto"/>
        <w:ind w:right="343" w:hanging="465"/>
        <w:rPr>
          <w:sz w:val="24"/>
        </w:rPr>
      </w:pPr>
      <w:r w:rsidRPr="003D5030">
        <w:rPr>
          <w:sz w:val="24"/>
        </w:rPr>
        <w:t>Experienced health and care professionals (in addition to those in a supervisor role) to contribute to multi-professional, collaborative learning to support the programme’s delivery</w:t>
      </w:r>
    </w:p>
    <w:p w14:paraId="20FBB88F" w14:textId="077E6F3C" w:rsidR="0012290E" w:rsidRPr="003D5030" w:rsidRDefault="003B6355" w:rsidP="003D5030">
      <w:pPr>
        <w:pStyle w:val="ListParagraph"/>
        <w:numPr>
          <w:ilvl w:val="2"/>
          <w:numId w:val="7"/>
        </w:numPr>
        <w:tabs>
          <w:tab w:val="left" w:pos="1298"/>
          <w:tab w:val="left" w:pos="1299"/>
        </w:tabs>
        <w:spacing w:before="87" w:line="256" w:lineRule="auto"/>
        <w:ind w:right="343" w:hanging="465"/>
        <w:rPr>
          <w:sz w:val="24"/>
        </w:rPr>
      </w:pPr>
      <w:r w:rsidRPr="003D5030">
        <w:rPr>
          <w:sz w:val="24"/>
        </w:rPr>
        <w:t>Learners’ engagement with learning opportunities beyond their workplace to add breadth to their knowledge and skills development (e.g. through specialist clinics visits and professional networking).</w:t>
      </w:r>
    </w:p>
    <w:p w14:paraId="73E41179" w14:textId="47CF6A00" w:rsidR="0012290E" w:rsidRPr="003D5030" w:rsidRDefault="003B6355" w:rsidP="003D5030">
      <w:pPr>
        <w:pStyle w:val="ListParagraph"/>
        <w:numPr>
          <w:ilvl w:val="1"/>
          <w:numId w:val="8"/>
        </w:numPr>
        <w:tabs>
          <w:tab w:val="left" w:pos="474"/>
        </w:tabs>
        <w:spacing w:before="93" w:line="259" w:lineRule="auto"/>
        <w:ind w:right="210"/>
        <w:rPr>
          <w:sz w:val="24"/>
        </w:rPr>
      </w:pPr>
      <w:r w:rsidRPr="003D5030">
        <w:rPr>
          <w:sz w:val="24"/>
        </w:rPr>
        <w:t xml:space="preserve">The programme team reviews individual </w:t>
      </w:r>
      <w:r w:rsidR="003733B8">
        <w:rPr>
          <w:sz w:val="24"/>
        </w:rPr>
        <w:t>work-based learning</w:t>
      </w:r>
      <w:r w:rsidRPr="003D5030">
        <w:rPr>
          <w:sz w:val="24"/>
        </w:rPr>
        <w:t xml:space="preserve"> on a regular basis and addresses any issues in a timely manner.</w:t>
      </w:r>
    </w:p>
    <w:p w14:paraId="482A5D92" w14:textId="77777777" w:rsidR="0012290E" w:rsidRDefault="0012290E">
      <w:pPr>
        <w:pStyle w:val="BodyText"/>
        <w:spacing w:before="4"/>
        <w:rPr>
          <w:sz w:val="36"/>
        </w:rPr>
      </w:pPr>
    </w:p>
    <w:p w14:paraId="1C547F3C" w14:textId="7D402450" w:rsidR="0012290E" w:rsidRPr="00EE384E" w:rsidRDefault="003B6355">
      <w:pPr>
        <w:pStyle w:val="Heading2"/>
        <w:spacing w:before="1"/>
        <w:rPr>
          <w:b/>
          <w:bCs/>
          <w:sz w:val="24"/>
          <w:szCs w:val="24"/>
        </w:rPr>
      </w:pPr>
      <w:bookmarkStart w:id="10" w:name="_Toc34395799"/>
      <w:r w:rsidRPr="00EE384E">
        <w:rPr>
          <w:b/>
          <w:bCs/>
          <w:spacing w:val="11"/>
          <w:sz w:val="24"/>
          <w:szCs w:val="24"/>
        </w:rPr>
        <w:t xml:space="preserve">Domain </w:t>
      </w:r>
      <w:r w:rsidRPr="00EE384E">
        <w:rPr>
          <w:b/>
          <w:bCs/>
          <w:spacing w:val="7"/>
          <w:sz w:val="24"/>
          <w:szCs w:val="24"/>
        </w:rPr>
        <w:t xml:space="preserve">4: </w:t>
      </w:r>
      <w:r w:rsidRPr="00EE384E">
        <w:rPr>
          <w:b/>
          <w:bCs/>
          <w:spacing w:val="12"/>
          <w:sz w:val="24"/>
          <w:szCs w:val="24"/>
        </w:rPr>
        <w:t>Programme</w:t>
      </w:r>
      <w:r w:rsidR="00FD6684" w:rsidRPr="00EE384E">
        <w:rPr>
          <w:b/>
          <w:bCs/>
          <w:spacing w:val="76"/>
          <w:sz w:val="24"/>
          <w:szCs w:val="24"/>
        </w:rPr>
        <w:t xml:space="preserve"> </w:t>
      </w:r>
      <w:r w:rsidRPr="00EE384E">
        <w:rPr>
          <w:b/>
          <w:bCs/>
          <w:spacing w:val="12"/>
          <w:sz w:val="24"/>
          <w:szCs w:val="24"/>
        </w:rPr>
        <w:t>content</w:t>
      </w:r>
      <w:bookmarkEnd w:id="10"/>
    </w:p>
    <w:p w14:paraId="70A1E86D" w14:textId="77777777" w:rsidR="0012290E" w:rsidRDefault="003B6355">
      <w:pPr>
        <w:pStyle w:val="ListParagraph"/>
        <w:numPr>
          <w:ilvl w:val="1"/>
          <w:numId w:val="6"/>
        </w:numPr>
        <w:tabs>
          <w:tab w:val="left" w:pos="474"/>
        </w:tabs>
        <w:spacing w:before="162"/>
        <w:rPr>
          <w:sz w:val="24"/>
        </w:rPr>
      </w:pPr>
      <w:r>
        <w:rPr>
          <w:sz w:val="24"/>
        </w:rPr>
        <w:t>It is explained how the programme design and curriculum</w:t>
      </w:r>
      <w:r>
        <w:rPr>
          <w:spacing w:val="-6"/>
          <w:sz w:val="24"/>
        </w:rPr>
        <w:t xml:space="preserve"> </w:t>
      </w:r>
      <w:r>
        <w:rPr>
          <w:sz w:val="24"/>
        </w:rPr>
        <w:t>content</w:t>
      </w:r>
      <w:r w:rsidR="00AF470E">
        <w:rPr>
          <w:sz w:val="24"/>
        </w:rPr>
        <w:t>:</w:t>
      </w:r>
    </w:p>
    <w:p w14:paraId="0E5E9051" w14:textId="62FFFE81" w:rsidR="0012290E" w:rsidRDefault="003B6355">
      <w:pPr>
        <w:pStyle w:val="ListParagraph"/>
        <w:numPr>
          <w:ilvl w:val="2"/>
          <w:numId w:val="6"/>
        </w:numPr>
        <w:tabs>
          <w:tab w:val="left" w:pos="1193"/>
          <w:tab w:val="left" w:pos="1194"/>
        </w:tabs>
        <w:spacing w:before="87" w:line="254" w:lineRule="auto"/>
        <w:ind w:right="654"/>
        <w:rPr>
          <w:sz w:val="24"/>
        </w:rPr>
      </w:pPr>
      <w:r>
        <w:rPr>
          <w:sz w:val="24"/>
        </w:rPr>
        <w:t>Facilitate and develop A</w:t>
      </w:r>
      <w:r w:rsidR="00044556">
        <w:rPr>
          <w:sz w:val="24"/>
        </w:rPr>
        <w:t xml:space="preserve">dvancing </w:t>
      </w:r>
      <w:r>
        <w:rPr>
          <w:sz w:val="24"/>
        </w:rPr>
        <w:t>P</w:t>
      </w:r>
      <w:r w:rsidR="00044556">
        <w:rPr>
          <w:sz w:val="24"/>
        </w:rPr>
        <w:t>ractice</w:t>
      </w:r>
      <w:r w:rsidR="0012008A" w:rsidDel="0012008A">
        <w:rPr>
          <w:sz w:val="24"/>
        </w:rPr>
        <w:t xml:space="preserve"> </w:t>
      </w:r>
      <w:r>
        <w:rPr>
          <w:sz w:val="24"/>
        </w:rPr>
        <w:t>level learning across all the pillars of practice</w:t>
      </w:r>
    </w:p>
    <w:p w14:paraId="5CD32A7F" w14:textId="7F198220" w:rsidR="0012290E" w:rsidRDefault="003B6355">
      <w:pPr>
        <w:pStyle w:val="ListParagraph"/>
        <w:numPr>
          <w:ilvl w:val="2"/>
          <w:numId w:val="6"/>
        </w:numPr>
        <w:tabs>
          <w:tab w:val="left" w:pos="1193"/>
          <w:tab w:val="left" w:pos="1194"/>
        </w:tabs>
        <w:spacing w:before="70" w:line="256" w:lineRule="auto"/>
        <w:ind w:right="852"/>
        <w:rPr>
          <w:sz w:val="24"/>
        </w:rPr>
      </w:pPr>
      <w:r>
        <w:rPr>
          <w:sz w:val="24"/>
        </w:rPr>
        <w:t>Integrate</w:t>
      </w:r>
      <w:r w:rsidR="00F0108A">
        <w:rPr>
          <w:sz w:val="24"/>
        </w:rPr>
        <w:t>s</w:t>
      </w:r>
      <w:r>
        <w:rPr>
          <w:sz w:val="24"/>
        </w:rPr>
        <w:t xml:space="preserve"> and blend</w:t>
      </w:r>
      <w:r w:rsidR="00F0108A">
        <w:rPr>
          <w:sz w:val="24"/>
        </w:rPr>
        <w:t>s</w:t>
      </w:r>
      <w:r>
        <w:rPr>
          <w:sz w:val="24"/>
        </w:rPr>
        <w:t xml:space="preserve"> learning to optimise experience and outcomes (within academic and </w:t>
      </w:r>
      <w:r w:rsidR="00FD6684">
        <w:rPr>
          <w:sz w:val="24"/>
        </w:rPr>
        <w:t>learning in practice</w:t>
      </w:r>
      <w:r>
        <w:rPr>
          <w:spacing w:val="-3"/>
          <w:sz w:val="24"/>
        </w:rPr>
        <w:t xml:space="preserve"> </w:t>
      </w:r>
      <w:r>
        <w:rPr>
          <w:sz w:val="24"/>
        </w:rPr>
        <w:t>settings)</w:t>
      </w:r>
    </w:p>
    <w:p w14:paraId="2C123762" w14:textId="77777777" w:rsidR="0012290E" w:rsidRDefault="003B6355">
      <w:pPr>
        <w:pStyle w:val="ListParagraph"/>
        <w:numPr>
          <w:ilvl w:val="2"/>
          <w:numId w:val="6"/>
        </w:numPr>
        <w:tabs>
          <w:tab w:val="left" w:pos="1193"/>
          <w:tab w:val="left" w:pos="1194"/>
        </w:tabs>
        <w:spacing w:before="67" w:line="256" w:lineRule="auto"/>
        <w:ind w:right="809"/>
        <w:rPr>
          <w:sz w:val="24"/>
        </w:rPr>
      </w:pPr>
      <w:r>
        <w:rPr>
          <w:sz w:val="24"/>
        </w:rPr>
        <w:t>Promote professionalism and consideration of ethical issues and personal scope of practice and competence (and their</w:t>
      </w:r>
      <w:r>
        <w:rPr>
          <w:spacing w:val="-9"/>
          <w:sz w:val="24"/>
        </w:rPr>
        <w:t xml:space="preserve"> </w:t>
      </w:r>
      <w:r>
        <w:rPr>
          <w:sz w:val="24"/>
        </w:rPr>
        <w:t>limits)</w:t>
      </w:r>
    </w:p>
    <w:p w14:paraId="51E37DFF" w14:textId="2B45ABD2" w:rsidR="0012290E" w:rsidRDefault="003B6355">
      <w:pPr>
        <w:pStyle w:val="ListParagraph"/>
        <w:numPr>
          <w:ilvl w:val="2"/>
          <w:numId w:val="6"/>
        </w:numPr>
        <w:tabs>
          <w:tab w:val="left" w:pos="1193"/>
          <w:tab w:val="left" w:pos="1194"/>
        </w:tabs>
        <w:spacing w:before="65"/>
        <w:rPr>
          <w:sz w:val="24"/>
        </w:rPr>
      </w:pPr>
      <w:r>
        <w:rPr>
          <w:sz w:val="24"/>
        </w:rPr>
        <w:t>Place</w:t>
      </w:r>
      <w:r w:rsidR="00F0108A">
        <w:rPr>
          <w:sz w:val="24"/>
        </w:rPr>
        <w:t>s</w:t>
      </w:r>
      <w:r>
        <w:rPr>
          <w:sz w:val="24"/>
        </w:rPr>
        <w:t xml:space="preserve"> a strong emphasis</w:t>
      </w:r>
      <w:r>
        <w:rPr>
          <w:spacing w:val="-6"/>
          <w:sz w:val="24"/>
        </w:rPr>
        <w:t xml:space="preserve"> </w:t>
      </w:r>
      <w:r>
        <w:rPr>
          <w:sz w:val="24"/>
        </w:rPr>
        <w:t>on</w:t>
      </w:r>
    </w:p>
    <w:p w14:paraId="1F657FD9" w14:textId="77777777" w:rsidR="0012290E" w:rsidRDefault="003B6355">
      <w:pPr>
        <w:pStyle w:val="ListParagraph"/>
        <w:numPr>
          <w:ilvl w:val="3"/>
          <w:numId w:val="6"/>
        </w:numPr>
        <w:tabs>
          <w:tab w:val="left" w:pos="1553"/>
          <w:tab w:val="left" w:pos="1554"/>
        </w:tabs>
        <w:spacing w:before="84"/>
        <w:rPr>
          <w:sz w:val="24"/>
        </w:rPr>
      </w:pPr>
      <w:r>
        <w:rPr>
          <w:sz w:val="24"/>
        </w:rPr>
        <w:t>Self-directed</w:t>
      </w:r>
      <w:r>
        <w:rPr>
          <w:spacing w:val="-5"/>
          <w:sz w:val="24"/>
        </w:rPr>
        <w:t xml:space="preserve"> </w:t>
      </w:r>
      <w:r>
        <w:rPr>
          <w:sz w:val="24"/>
        </w:rPr>
        <w:t>learning</w:t>
      </w:r>
    </w:p>
    <w:p w14:paraId="13E66401" w14:textId="77777777" w:rsidR="0012290E" w:rsidRDefault="003B6355">
      <w:pPr>
        <w:pStyle w:val="ListParagraph"/>
        <w:numPr>
          <w:ilvl w:val="3"/>
          <w:numId w:val="6"/>
        </w:numPr>
        <w:tabs>
          <w:tab w:val="left" w:pos="1553"/>
          <w:tab w:val="left" w:pos="1554"/>
        </w:tabs>
        <w:spacing w:before="22"/>
        <w:rPr>
          <w:sz w:val="24"/>
        </w:rPr>
      </w:pPr>
      <w:r>
        <w:rPr>
          <w:sz w:val="24"/>
        </w:rPr>
        <w:t>Accountability and responsibility for personal decisions and</w:t>
      </w:r>
      <w:r>
        <w:rPr>
          <w:spacing w:val="-11"/>
          <w:sz w:val="24"/>
        </w:rPr>
        <w:t xml:space="preserve"> </w:t>
      </w:r>
      <w:r>
        <w:rPr>
          <w:sz w:val="24"/>
        </w:rPr>
        <w:t>actions</w:t>
      </w:r>
    </w:p>
    <w:p w14:paraId="0897285F" w14:textId="77777777" w:rsidR="0012290E" w:rsidRDefault="003B6355">
      <w:pPr>
        <w:pStyle w:val="ListParagraph"/>
        <w:numPr>
          <w:ilvl w:val="3"/>
          <w:numId w:val="6"/>
        </w:numPr>
        <w:tabs>
          <w:tab w:val="left" w:pos="1553"/>
          <w:tab w:val="left" w:pos="1554"/>
        </w:tabs>
        <w:spacing w:before="22"/>
        <w:rPr>
          <w:sz w:val="24"/>
        </w:rPr>
      </w:pPr>
      <w:r>
        <w:rPr>
          <w:sz w:val="24"/>
        </w:rPr>
        <w:t>Collaborative</w:t>
      </w:r>
      <w:r>
        <w:rPr>
          <w:spacing w:val="1"/>
          <w:sz w:val="24"/>
        </w:rPr>
        <w:t xml:space="preserve"> </w:t>
      </w:r>
      <w:r>
        <w:rPr>
          <w:sz w:val="24"/>
        </w:rPr>
        <w:t>practice</w:t>
      </w:r>
    </w:p>
    <w:p w14:paraId="526FEF8C" w14:textId="77777777" w:rsidR="00F0108A" w:rsidRDefault="003B6355" w:rsidP="00F0108A">
      <w:pPr>
        <w:pStyle w:val="ListParagraph"/>
        <w:numPr>
          <w:ilvl w:val="3"/>
          <w:numId w:val="6"/>
        </w:numPr>
        <w:tabs>
          <w:tab w:val="left" w:pos="1553"/>
          <w:tab w:val="left" w:pos="1554"/>
        </w:tabs>
        <w:spacing w:before="21"/>
        <w:rPr>
          <w:sz w:val="24"/>
        </w:rPr>
      </w:pPr>
      <w:r>
        <w:rPr>
          <w:sz w:val="24"/>
        </w:rPr>
        <w:t>Reflection on the management of complexity, uncertainty and ethical</w:t>
      </w:r>
      <w:r>
        <w:rPr>
          <w:spacing w:val="-13"/>
          <w:sz w:val="24"/>
        </w:rPr>
        <w:t xml:space="preserve"> </w:t>
      </w:r>
      <w:r>
        <w:rPr>
          <w:sz w:val="24"/>
        </w:rPr>
        <w:t>issues</w:t>
      </w:r>
    </w:p>
    <w:p w14:paraId="61B4D249" w14:textId="2F2F5BF5" w:rsidR="0012290E" w:rsidRDefault="003B6355" w:rsidP="00F0108A">
      <w:pPr>
        <w:pStyle w:val="ListParagraph"/>
        <w:numPr>
          <w:ilvl w:val="3"/>
          <w:numId w:val="6"/>
        </w:numPr>
        <w:tabs>
          <w:tab w:val="left" w:pos="1553"/>
          <w:tab w:val="left" w:pos="1554"/>
        </w:tabs>
        <w:spacing w:before="21"/>
        <w:rPr>
          <w:sz w:val="24"/>
        </w:rPr>
      </w:pPr>
      <w:r w:rsidRPr="00F0108A">
        <w:rPr>
          <w:sz w:val="24"/>
        </w:rPr>
        <w:t>Critical inquiry and evidence-based</w:t>
      </w:r>
      <w:r w:rsidRPr="00F0108A">
        <w:rPr>
          <w:spacing w:val="1"/>
          <w:sz w:val="24"/>
        </w:rPr>
        <w:t xml:space="preserve"> </w:t>
      </w:r>
      <w:r w:rsidRPr="00F0108A">
        <w:rPr>
          <w:sz w:val="24"/>
        </w:rPr>
        <w:t>practice.</w:t>
      </w:r>
    </w:p>
    <w:p w14:paraId="46E7804C" w14:textId="2A143343" w:rsidR="00834A9A" w:rsidRDefault="00834A9A" w:rsidP="00F0108A">
      <w:pPr>
        <w:pStyle w:val="ListParagraph"/>
        <w:numPr>
          <w:ilvl w:val="3"/>
          <w:numId w:val="6"/>
        </w:numPr>
        <w:tabs>
          <w:tab w:val="left" w:pos="1553"/>
          <w:tab w:val="left" w:pos="1554"/>
        </w:tabs>
        <w:spacing w:before="21"/>
        <w:rPr>
          <w:sz w:val="24"/>
        </w:rPr>
      </w:pPr>
      <w:r>
        <w:rPr>
          <w:sz w:val="24"/>
        </w:rPr>
        <w:t xml:space="preserve">High level of </w:t>
      </w:r>
      <w:r w:rsidR="006D12B8">
        <w:rPr>
          <w:sz w:val="24"/>
        </w:rPr>
        <w:t>a</w:t>
      </w:r>
      <w:r>
        <w:rPr>
          <w:sz w:val="24"/>
        </w:rPr>
        <w:t>utonomy</w:t>
      </w:r>
    </w:p>
    <w:p w14:paraId="2E9C1C33" w14:textId="2F78D52A" w:rsidR="00787AEE" w:rsidRDefault="00787AEE" w:rsidP="00F0108A">
      <w:pPr>
        <w:pStyle w:val="ListParagraph"/>
        <w:numPr>
          <w:ilvl w:val="3"/>
          <w:numId w:val="6"/>
        </w:numPr>
        <w:tabs>
          <w:tab w:val="left" w:pos="1553"/>
          <w:tab w:val="left" w:pos="1554"/>
        </w:tabs>
        <w:spacing w:before="21"/>
        <w:rPr>
          <w:sz w:val="24"/>
        </w:rPr>
      </w:pPr>
      <w:r>
        <w:rPr>
          <w:sz w:val="24"/>
        </w:rPr>
        <w:t xml:space="preserve">Clinical </w:t>
      </w:r>
      <w:r w:rsidR="006D12B8">
        <w:rPr>
          <w:sz w:val="24"/>
        </w:rPr>
        <w:t>d</w:t>
      </w:r>
      <w:r>
        <w:rPr>
          <w:sz w:val="24"/>
        </w:rPr>
        <w:t xml:space="preserve">ecision </w:t>
      </w:r>
      <w:r w:rsidR="006D12B8">
        <w:rPr>
          <w:sz w:val="24"/>
        </w:rPr>
        <w:t>m</w:t>
      </w:r>
      <w:r>
        <w:rPr>
          <w:sz w:val="24"/>
        </w:rPr>
        <w:t>aking</w:t>
      </w:r>
    </w:p>
    <w:p w14:paraId="3C65008F" w14:textId="222FF427" w:rsidR="00787AEE" w:rsidRPr="00F0108A" w:rsidRDefault="00787AEE" w:rsidP="00F0108A">
      <w:pPr>
        <w:pStyle w:val="ListParagraph"/>
        <w:numPr>
          <w:ilvl w:val="3"/>
          <w:numId w:val="6"/>
        </w:numPr>
        <w:tabs>
          <w:tab w:val="left" w:pos="1553"/>
          <w:tab w:val="left" w:pos="1554"/>
        </w:tabs>
        <w:spacing w:before="21"/>
        <w:rPr>
          <w:sz w:val="24"/>
        </w:rPr>
      </w:pPr>
      <w:r>
        <w:rPr>
          <w:sz w:val="24"/>
        </w:rPr>
        <w:t xml:space="preserve">Exercising of </w:t>
      </w:r>
      <w:r w:rsidR="006D12B8">
        <w:rPr>
          <w:sz w:val="24"/>
        </w:rPr>
        <w:t>informed judgement</w:t>
      </w:r>
    </w:p>
    <w:p w14:paraId="639D66F7" w14:textId="0A53F03B" w:rsidR="0012290E" w:rsidRDefault="003B6355">
      <w:pPr>
        <w:pStyle w:val="ListParagraph"/>
        <w:numPr>
          <w:ilvl w:val="1"/>
          <w:numId w:val="6"/>
        </w:numPr>
        <w:tabs>
          <w:tab w:val="left" w:pos="474"/>
        </w:tabs>
        <w:spacing w:before="61" w:line="259" w:lineRule="auto"/>
        <w:ind w:right="596"/>
        <w:rPr>
          <w:sz w:val="24"/>
        </w:rPr>
      </w:pPr>
      <w:r>
        <w:rPr>
          <w:sz w:val="24"/>
        </w:rPr>
        <w:t>It is explained how the programme curriculum (and pathways within it) reflect area</w:t>
      </w:r>
      <w:r w:rsidR="00F0108A">
        <w:rPr>
          <w:sz w:val="24"/>
        </w:rPr>
        <w:t>-</w:t>
      </w:r>
      <w:r>
        <w:rPr>
          <w:sz w:val="24"/>
        </w:rPr>
        <w:t>specific capabilities at A</w:t>
      </w:r>
      <w:r w:rsidR="00044556">
        <w:rPr>
          <w:sz w:val="24"/>
        </w:rPr>
        <w:t xml:space="preserve">dvancing </w:t>
      </w:r>
      <w:r>
        <w:rPr>
          <w:sz w:val="24"/>
        </w:rPr>
        <w:t>P</w:t>
      </w:r>
      <w:r w:rsidR="00044556">
        <w:rPr>
          <w:sz w:val="24"/>
        </w:rPr>
        <w:t>ractice</w:t>
      </w:r>
      <w:r>
        <w:rPr>
          <w:sz w:val="24"/>
        </w:rPr>
        <w:t xml:space="preserve"> level</w:t>
      </w:r>
      <w:r w:rsidR="00253860">
        <w:rPr>
          <w:sz w:val="24"/>
        </w:rPr>
        <w:t xml:space="preserve"> (see glossary)</w:t>
      </w:r>
      <w:r>
        <w:rPr>
          <w:sz w:val="24"/>
        </w:rPr>
        <w:t>, where these</w:t>
      </w:r>
      <w:r>
        <w:rPr>
          <w:spacing w:val="-4"/>
          <w:sz w:val="24"/>
        </w:rPr>
        <w:t xml:space="preserve"> </w:t>
      </w:r>
      <w:r>
        <w:rPr>
          <w:sz w:val="24"/>
        </w:rPr>
        <w:t>exist</w:t>
      </w:r>
      <w:r w:rsidR="00253860">
        <w:rPr>
          <w:sz w:val="24"/>
        </w:rPr>
        <w:t xml:space="preserve"> </w:t>
      </w:r>
    </w:p>
    <w:p w14:paraId="2883F9A8" w14:textId="5A597711" w:rsidR="0012290E" w:rsidRDefault="003B6355">
      <w:pPr>
        <w:pStyle w:val="ListParagraph"/>
        <w:numPr>
          <w:ilvl w:val="1"/>
          <w:numId w:val="6"/>
        </w:numPr>
        <w:tabs>
          <w:tab w:val="left" w:pos="474"/>
        </w:tabs>
        <w:rPr>
          <w:sz w:val="24"/>
        </w:rPr>
      </w:pPr>
      <w:r>
        <w:rPr>
          <w:sz w:val="24"/>
        </w:rPr>
        <w:t>It is explained how the programme curriculum is responsive</w:t>
      </w:r>
      <w:r>
        <w:rPr>
          <w:spacing w:val="-6"/>
          <w:sz w:val="24"/>
        </w:rPr>
        <w:t xml:space="preserve"> </w:t>
      </w:r>
      <w:r>
        <w:rPr>
          <w:sz w:val="24"/>
        </w:rPr>
        <w:t>to</w:t>
      </w:r>
      <w:r w:rsidR="00614400">
        <w:rPr>
          <w:sz w:val="24"/>
        </w:rPr>
        <w:t>:</w:t>
      </w:r>
    </w:p>
    <w:p w14:paraId="6A0D7965" w14:textId="790C3B42" w:rsidR="0012290E" w:rsidRDefault="003B6355">
      <w:pPr>
        <w:pStyle w:val="ListParagraph"/>
        <w:numPr>
          <w:ilvl w:val="2"/>
          <w:numId w:val="6"/>
        </w:numPr>
        <w:tabs>
          <w:tab w:val="left" w:pos="1193"/>
          <w:tab w:val="left" w:pos="1194"/>
        </w:tabs>
        <w:spacing w:before="87" w:line="256" w:lineRule="auto"/>
        <w:ind w:right="356"/>
        <w:rPr>
          <w:sz w:val="24"/>
        </w:rPr>
      </w:pPr>
      <w:r>
        <w:rPr>
          <w:sz w:val="24"/>
        </w:rPr>
        <w:t>The needs of service commissioners, employers, population health needs and patients</w:t>
      </w:r>
    </w:p>
    <w:p w14:paraId="21F70FF4" w14:textId="706805F5" w:rsidR="0012290E" w:rsidRDefault="003B6355">
      <w:pPr>
        <w:pStyle w:val="ListParagraph"/>
        <w:numPr>
          <w:ilvl w:val="2"/>
          <w:numId w:val="6"/>
        </w:numPr>
        <w:tabs>
          <w:tab w:val="left" w:pos="1193"/>
          <w:tab w:val="left" w:pos="1194"/>
        </w:tabs>
        <w:spacing w:before="67" w:line="254" w:lineRule="auto"/>
        <w:ind w:right="930"/>
        <w:rPr>
          <w:sz w:val="24"/>
        </w:rPr>
      </w:pPr>
      <w:r>
        <w:rPr>
          <w:sz w:val="24"/>
        </w:rPr>
        <w:t xml:space="preserve">Changes in models of care and service delivery, workforce/role/skills mix developments, and the </w:t>
      </w:r>
      <w:r w:rsidR="001A0AAC">
        <w:rPr>
          <w:sz w:val="24"/>
        </w:rPr>
        <w:t>evidence</w:t>
      </w:r>
      <w:r w:rsidR="001A0AAC">
        <w:rPr>
          <w:spacing w:val="4"/>
          <w:sz w:val="24"/>
        </w:rPr>
        <w:t>-based</w:t>
      </w:r>
      <w:r w:rsidR="00EF608F">
        <w:rPr>
          <w:sz w:val="24"/>
        </w:rPr>
        <w:t xml:space="preserve"> practice</w:t>
      </w:r>
    </w:p>
    <w:p w14:paraId="1E2BCB93" w14:textId="48838ED5" w:rsidR="0012290E" w:rsidRDefault="003B6355">
      <w:pPr>
        <w:pStyle w:val="ListParagraph"/>
        <w:numPr>
          <w:ilvl w:val="2"/>
          <w:numId w:val="6"/>
        </w:numPr>
        <w:tabs>
          <w:tab w:val="left" w:pos="1193"/>
          <w:tab w:val="left" w:pos="1194"/>
        </w:tabs>
        <w:spacing w:before="71" w:line="256" w:lineRule="auto"/>
        <w:ind w:right="996"/>
        <w:rPr>
          <w:sz w:val="24"/>
        </w:rPr>
      </w:pPr>
      <w:r>
        <w:rPr>
          <w:sz w:val="24"/>
        </w:rPr>
        <w:t>Contemporary clinical practice, current health and social care policy and national</w:t>
      </w:r>
      <w:r w:rsidR="00F0108A">
        <w:rPr>
          <w:sz w:val="24"/>
        </w:rPr>
        <w:t>/</w:t>
      </w:r>
      <w:r>
        <w:rPr>
          <w:sz w:val="24"/>
        </w:rPr>
        <w:t>international advanced practice</w:t>
      </w:r>
      <w:r>
        <w:rPr>
          <w:spacing w:val="-1"/>
          <w:sz w:val="24"/>
        </w:rPr>
        <w:t xml:space="preserve"> </w:t>
      </w:r>
      <w:r>
        <w:rPr>
          <w:sz w:val="24"/>
        </w:rPr>
        <w:t>research.</w:t>
      </w:r>
    </w:p>
    <w:p w14:paraId="112D8844" w14:textId="77777777" w:rsidR="0012290E" w:rsidRDefault="003B6355">
      <w:pPr>
        <w:pStyle w:val="ListParagraph"/>
        <w:numPr>
          <w:ilvl w:val="1"/>
          <w:numId w:val="6"/>
        </w:numPr>
        <w:tabs>
          <w:tab w:val="left" w:pos="474"/>
        </w:tabs>
        <w:spacing w:before="66" w:line="259" w:lineRule="auto"/>
        <w:ind w:right="571"/>
        <w:rPr>
          <w:sz w:val="24"/>
        </w:rPr>
      </w:pPr>
      <w:r>
        <w:rPr>
          <w:sz w:val="24"/>
        </w:rPr>
        <w:lastRenderedPageBreak/>
        <w:t>It is clear how the programme promotes and supports learners’ development within multi-professional and inter-agency teams, including by providing opportunities for inter-professional learning, teaching and</w:t>
      </w:r>
      <w:r>
        <w:rPr>
          <w:spacing w:val="1"/>
          <w:sz w:val="24"/>
        </w:rPr>
        <w:t xml:space="preserve"> </w:t>
      </w:r>
      <w:r>
        <w:rPr>
          <w:sz w:val="24"/>
        </w:rPr>
        <w:t>collaboration.</w:t>
      </w:r>
    </w:p>
    <w:p w14:paraId="2FBFDD3D" w14:textId="77777777" w:rsidR="0012290E" w:rsidRPr="003C2DB1" w:rsidRDefault="0012290E">
      <w:pPr>
        <w:pStyle w:val="BodyText"/>
        <w:rPr>
          <w:sz w:val="36"/>
          <w:szCs w:val="36"/>
        </w:rPr>
      </w:pPr>
    </w:p>
    <w:p w14:paraId="6E973457" w14:textId="77777777" w:rsidR="0012290E" w:rsidRPr="00EE384E" w:rsidRDefault="003B6355">
      <w:pPr>
        <w:pStyle w:val="Heading2"/>
        <w:spacing w:before="217"/>
        <w:rPr>
          <w:b/>
          <w:bCs/>
          <w:sz w:val="24"/>
          <w:szCs w:val="24"/>
        </w:rPr>
      </w:pPr>
      <w:bookmarkStart w:id="11" w:name="_Toc34395800"/>
      <w:r w:rsidRPr="00EE384E">
        <w:rPr>
          <w:b/>
          <w:bCs/>
          <w:spacing w:val="11"/>
          <w:sz w:val="24"/>
          <w:szCs w:val="24"/>
        </w:rPr>
        <w:t xml:space="preserve">Domain </w:t>
      </w:r>
      <w:r w:rsidRPr="00EE384E">
        <w:rPr>
          <w:b/>
          <w:bCs/>
          <w:spacing w:val="7"/>
          <w:sz w:val="24"/>
          <w:szCs w:val="24"/>
        </w:rPr>
        <w:t xml:space="preserve">5: </w:t>
      </w:r>
      <w:r w:rsidRPr="00EE384E">
        <w:rPr>
          <w:b/>
          <w:bCs/>
          <w:spacing w:val="12"/>
          <w:sz w:val="24"/>
          <w:szCs w:val="24"/>
        </w:rPr>
        <w:t>Programme</w:t>
      </w:r>
      <w:r w:rsidRPr="00EE384E">
        <w:rPr>
          <w:b/>
          <w:bCs/>
          <w:spacing w:val="76"/>
          <w:sz w:val="24"/>
          <w:szCs w:val="24"/>
        </w:rPr>
        <w:t xml:space="preserve"> </w:t>
      </w:r>
      <w:r w:rsidRPr="00EE384E">
        <w:rPr>
          <w:b/>
          <w:bCs/>
          <w:spacing w:val="12"/>
          <w:sz w:val="24"/>
          <w:szCs w:val="24"/>
        </w:rPr>
        <w:t>delivery</w:t>
      </w:r>
      <w:bookmarkEnd w:id="11"/>
    </w:p>
    <w:p w14:paraId="39BFDCE0" w14:textId="37DF9696" w:rsidR="0012290E" w:rsidRDefault="003B6355">
      <w:pPr>
        <w:pStyle w:val="ListParagraph"/>
        <w:numPr>
          <w:ilvl w:val="1"/>
          <w:numId w:val="5"/>
        </w:numPr>
        <w:tabs>
          <w:tab w:val="left" w:pos="474"/>
        </w:tabs>
        <w:spacing w:before="160"/>
        <w:rPr>
          <w:sz w:val="24"/>
        </w:rPr>
      </w:pPr>
      <w:r>
        <w:rPr>
          <w:sz w:val="24"/>
        </w:rPr>
        <w:t>The programme’s design and delivery</w:t>
      </w:r>
      <w:r>
        <w:rPr>
          <w:spacing w:val="-2"/>
          <w:sz w:val="24"/>
        </w:rPr>
        <w:t xml:space="preserve"> </w:t>
      </w:r>
      <w:r w:rsidR="00B26218">
        <w:rPr>
          <w:sz w:val="24"/>
        </w:rPr>
        <w:t>demonstrate</w:t>
      </w:r>
      <w:r w:rsidR="00FD6684">
        <w:rPr>
          <w:sz w:val="24"/>
        </w:rPr>
        <w:t>:</w:t>
      </w:r>
    </w:p>
    <w:p w14:paraId="10894D2D" w14:textId="77777777" w:rsidR="0012290E" w:rsidRDefault="003B6355">
      <w:pPr>
        <w:pStyle w:val="ListParagraph"/>
        <w:numPr>
          <w:ilvl w:val="2"/>
          <w:numId w:val="5"/>
        </w:numPr>
        <w:tabs>
          <w:tab w:val="left" w:pos="1265"/>
          <w:tab w:val="left" w:pos="1266"/>
        </w:tabs>
        <w:spacing w:before="87" w:line="256" w:lineRule="auto"/>
        <w:ind w:right="150"/>
        <w:rPr>
          <w:sz w:val="24"/>
        </w:rPr>
      </w:pPr>
      <w:r>
        <w:rPr>
          <w:sz w:val="24"/>
        </w:rPr>
        <w:t>A logical sequencing of the programme components and the timeframe for their completion</w:t>
      </w:r>
    </w:p>
    <w:p w14:paraId="7E627BFA" w14:textId="10CA1A5E" w:rsidR="0012290E" w:rsidRPr="00FD6684" w:rsidRDefault="003B6355" w:rsidP="00FD6684">
      <w:pPr>
        <w:pStyle w:val="ListParagraph"/>
        <w:numPr>
          <w:ilvl w:val="2"/>
          <w:numId w:val="5"/>
        </w:numPr>
        <w:tabs>
          <w:tab w:val="left" w:pos="1265"/>
          <w:tab w:val="left" w:pos="1266"/>
        </w:tabs>
        <w:spacing w:before="67" w:line="256" w:lineRule="auto"/>
        <w:ind w:right="445"/>
        <w:rPr>
          <w:sz w:val="24"/>
        </w:rPr>
      </w:pPr>
      <w:r>
        <w:rPr>
          <w:sz w:val="24"/>
        </w:rPr>
        <w:t>The integration of programme components, across academic</w:t>
      </w:r>
      <w:r w:rsidR="00FD6684">
        <w:rPr>
          <w:sz w:val="24"/>
        </w:rPr>
        <w:t xml:space="preserve">, learning in practice </w:t>
      </w:r>
      <w:r w:rsidRPr="00FD6684">
        <w:rPr>
          <w:sz w:val="24"/>
        </w:rPr>
        <w:t xml:space="preserve">and </w:t>
      </w:r>
      <w:r w:rsidR="00FD6684">
        <w:rPr>
          <w:sz w:val="24"/>
        </w:rPr>
        <w:t>all</w:t>
      </w:r>
      <w:r w:rsidRPr="00FD6684">
        <w:rPr>
          <w:sz w:val="24"/>
        </w:rPr>
        <w:t xml:space="preserve"> pillars of A</w:t>
      </w:r>
      <w:r w:rsidR="00044556">
        <w:rPr>
          <w:sz w:val="24"/>
        </w:rPr>
        <w:t xml:space="preserve">dvancing </w:t>
      </w:r>
      <w:r w:rsidRPr="00FD6684">
        <w:rPr>
          <w:sz w:val="24"/>
        </w:rPr>
        <w:t>P</w:t>
      </w:r>
      <w:r w:rsidR="00044556">
        <w:rPr>
          <w:sz w:val="24"/>
        </w:rPr>
        <w:t>ractice</w:t>
      </w:r>
      <w:r w:rsidRPr="00FD6684">
        <w:rPr>
          <w:sz w:val="24"/>
        </w:rPr>
        <w:t>.</w:t>
      </w:r>
    </w:p>
    <w:p w14:paraId="233B34B6" w14:textId="666015E1" w:rsidR="0012290E" w:rsidRDefault="003B6355">
      <w:pPr>
        <w:pStyle w:val="ListParagraph"/>
        <w:numPr>
          <w:ilvl w:val="1"/>
          <w:numId w:val="5"/>
        </w:numPr>
        <w:tabs>
          <w:tab w:val="left" w:pos="474"/>
        </w:tabs>
        <w:spacing w:line="259" w:lineRule="auto"/>
        <w:ind w:right="702"/>
        <w:rPr>
          <w:sz w:val="24"/>
        </w:rPr>
      </w:pPr>
      <w:r>
        <w:rPr>
          <w:sz w:val="24"/>
        </w:rPr>
        <w:t>The range of learning, teaching and assessment methods used in the programme enables learners to develop and demonstrate fulfilment of the intended learning outcomes, and all capabilities within the A</w:t>
      </w:r>
      <w:r w:rsidR="00044556">
        <w:rPr>
          <w:sz w:val="24"/>
        </w:rPr>
        <w:t xml:space="preserve">dvancing </w:t>
      </w:r>
      <w:r>
        <w:rPr>
          <w:sz w:val="24"/>
        </w:rPr>
        <w:t>P</w:t>
      </w:r>
      <w:r w:rsidR="00044556">
        <w:rPr>
          <w:sz w:val="24"/>
        </w:rPr>
        <w:t>ractice</w:t>
      </w:r>
      <w:r>
        <w:rPr>
          <w:spacing w:val="-5"/>
          <w:sz w:val="24"/>
        </w:rPr>
        <w:t xml:space="preserve"> </w:t>
      </w:r>
      <w:r>
        <w:rPr>
          <w:sz w:val="24"/>
        </w:rPr>
        <w:t>Framework.</w:t>
      </w:r>
    </w:p>
    <w:p w14:paraId="3161EC94" w14:textId="646406EB" w:rsidR="0012290E" w:rsidRDefault="00AF2280">
      <w:pPr>
        <w:pStyle w:val="ListParagraph"/>
        <w:numPr>
          <w:ilvl w:val="1"/>
          <w:numId w:val="5"/>
        </w:numPr>
        <w:tabs>
          <w:tab w:val="left" w:pos="474"/>
        </w:tabs>
        <w:spacing w:before="63" w:line="259" w:lineRule="auto"/>
        <w:ind w:right="407"/>
        <w:rPr>
          <w:sz w:val="24"/>
        </w:rPr>
      </w:pPr>
      <w:r>
        <w:rPr>
          <w:sz w:val="24"/>
        </w:rPr>
        <w:t>C</w:t>
      </w:r>
      <w:r w:rsidR="003B6355">
        <w:rPr>
          <w:sz w:val="24"/>
        </w:rPr>
        <w:t xml:space="preserve">apacity and expertise </w:t>
      </w:r>
      <w:r w:rsidR="00E9211C">
        <w:rPr>
          <w:sz w:val="24"/>
        </w:rPr>
        <w:t>are</w:t>
      </w:r>
      <w:r w:rsidR="003B6355">
        <w:rPr>
          <w:sz w:val="24"/>
        </w:rPr>
        <w:t xml:space="preserve"> appropriate for the number and profile of learners recruited to the programme, including in relation to professions, specific pathways offered and relevant research</w:t>
      </w:r>
      <w:r w:rsidR="003B6355">
        <w:rPr>
          <w:spacing w:val="1"/>
          <w:sz w:val="24"/>
        </w:rPr>
        <w:t xml:space="preserve"> </w:t>
      </w:r>
      <w:r w:rsidR="003B6355">
        <w:rPr>
          <w:sz w:val="24"/>
        </w:rPr>
        <w:t>areas.</w:t>
      </w:r>
    </w:p>
    <w:p w14:paraId="14BDC807" w14:textId="77777777" w:rsidR="0012290E" w:rsidRDefault="003B6355">
      <w:pPr>
        <w:pStyle w:val="ListParagraph"/>
        <w:numPr>
          <w:ilvl w:val="1"/>
          <w:numId w:val="5"/>
        </w:numPr>
        <w:tabs>
          <w:tab w:val="left" w:pos="474"/>
        </w:tabs>
        <w:spacing w:line="259" w:lineRule="auto"/>
        <w:ind w:right="262"/>
        <w:rPr>
          <w:sz w:val="24"/>
        </w:rPr>
      </w:pPr>
      <w:r>
        <w:rPr>
          <w:sz w:val="24"/>
        </w:rPr>
        <w:t>Appropriate and sufficient human, learning, technological and physical resources, and a suitable environment for learning, teaching and assessment, are in place to sustain the programme’s delivery and to ensure effective, timely support to</w:t>
      </w:r>
      <w:r>
        <w:rPr>
          <w:spacing w:val="-10"/>
          <w:sz w:val="24"/>
        </w:rPr>
        <w:t xml:space="preserve"> </w:t>
      </w:r>
      <w:r>
        <w:rPr>
          <w:sz w:val="24"/>
        </w:rPr>
        <w:t>learners.</w:t>
      </w:r>
    </w:p>
    <w:p w14:paraId="082A4417" w14:textId="03A83B75" w:rsidR="0019377F" w:rsidRPr="00021167" w:rsidRDefault="003F329A" w:rsidP="00486220">
      <w:pPr>
        <w:pStyle w:val="ListParagraph"/>
        <w:numPr>
          <w:ilvl w:val="1"/>
          <w:numId w:val="5"/>
        </w:numPr>
        <w:tabs>
          <w:tab w:val="left" w:pos="474"/>
        </w:tabs>
        <w:spacing w:line="259" w:lineRule="auto"/>
        <w:ind w:right="835"/>
        <w:rPr>
          <w:sz w:val="24"/>
        </w:rPr>
      </w:pPr>
      <w:r w:rsidRPr="00021167">
        <w:rPr>
          <w:sz w:val="24"/>
        </w:rPr>
        <w:t xml:space="preserve">The </w:t>
      </w:r>
      <w:r w:rsidR="00AF470E" w:rsidRPr="00021167">
        <w:rPr>
          <w:sz w:val="24"/>
        </w:rPr>
        <w:t xml:space="preserve">programme </w:t>
      </w:r>
      <w:r w:rsidRPr="00021167">
        <w:rPr>
          <w:sz w:val="24"/>
        </w:rPr>
        <w:t xml:space="preserve">team </w:t>
      </w:r>
      <w:r w:rsidR="003B6355" w:rsidRPr="00021167">
        <w:rPr>
          <w:sz w:val="24"/>
        </w:rPr>
        <w:t>involved in the programme’s delivery are able to contribute safely and effectively, through</w:t>
      </w:r>
      <w:r w:rsidR="003B6355" w:rsidRPr="00021167">
        <w:rPr>
          <w:spacing w:val="1"/>
          <w:sz w:val="24"/>
        </w:rPr>
        <w:t xml:space="preserve"> </w:t>
      </w:r>
      <w:r w:rsidRPr="00021167">
        <w:rPr>
          <w:spacing w:val="1"/>
          <w:sz w:val="24"/>
        </w:rPr>
        <w:t xml:space="preserve">collectively </w:t>
      </w:r>
      <w:r w:rsidR="003B6355" w:rsidRPr="00021167">
        <w:rPr>
          <w:sz w:val="24"/>
        </w:rPr>
        <w:t>holding</w:t>
      </w:r>
      <w:r w:rsidR="00AC7E2A" w:rsidRPr="00021167">
        <w:rPr>
          <w:sz w:val="24"/>
        </w:rPr>
        <w:t>:</w:t>
      </w:r>
    </w:p>
    <w:p w14:paraId="1A1BF820" w14:textId="027490C7" w:rsidR="0012290E" w:rsidRPr="0019377F" w:rsidRDefault="003B6355" w:rsidP="0019377F">
      <w:pPr>
        <w:pStyle w:val="ListParagraph"/>
        <w:numPr>
          <w:ilvl w:val="0"/>
          <w:numId w:val="18"/>
        </w:numPr>
        <w:tabs>
          <w:tab w:val="left" w:pos="474"/>
        </w:tabs>
        <w:spacing w:line="259" w:lineRule="auto"/>
        <w:ind w:right="835"/>
        <w:rPr>
          <w:sz w:val="24"/>
        </w:rPr>
      </w:pPr>
      <w:r w:rsidRPr="0019377F">
        <w:rPr>
          <w:sz w:val="24"/>
        </w:rPr>
        <w:t xml:space="preserve">Current registration with </w:t>
      </w:r>
      <w:r w:rsidR="00F0108A" w:rsidRPr="0019377F">
        <w:rPr>
          <w:sz w:val="24"/>
        </w:rPr>
        <w:t>a</w:t>
      </w:r>
      <w:r w:rsidRPr="0019377F">
        <w:rPr>
          <w:sz w:val="24"/>
        </w:rPr>
        <w:t xml:space="preserve"> relevant statutory</w:t>
      </w:r>
      <w:r w:rsidRPr="0019377F">
        <w:rPr>
          <w:spacing w:val="2"/>
          <w:sz w:val="24"/>
        </w:rPr>
        <w:t xml:space="preserve"> </w:t>
      </w:r>
      <w:r w:rsidRPr="0019377F">
        <w:rPr>
          <w:sz w:val="24"/>
        </w:rPr>
        <w:t>regulator</w:t>
      </w:r>
    </w:p>
    <w:p w14:paraId="09FAE896" w14:textId="0737C2B5" w:rsidR="0012290E" w:rsidRPr="00AC7E2A" w:rsidRDefault="003B6355" w:rsidP="00AC7E2A">
      <w:pPr>
        <w:pStyle w:val="ListParagraph"/>
        <w:numPr>
          <w:ilvl w:val="2"/>
          <w:numId w:val="5"/>
        </w:numPr>
        <w:tabs>
          <w:tab w:val="left" w:pos="1193"/>
          <w:tab w:val="left" w:pos="1194"/>
        </w:tabs>
        <w:spacing w:before="100" w:line="256" w:lineRule="auto"/>
        <w:ind w:left="1193" w:right="729"/>
        <w:rPr>
          <w:sz w:val="24"/>
        </w:rPr>
      </w:pPr>
      <w:r w:rsidRPr="00AC7E2A">
        <w:rPr>
          <w:sz w:val="24"/>
        </w:rPr>
        <w:t>Appropriate professional qualifications (including in relation to learning and teaching)</w:t>
      </w:r>
    </w:p>
    <w:p w14:paraId="79B986F9" w14:textId="3539A73C" w:rsidR="0012290E" w:rsidRDefault="003B6355">
      <w:pPr>
        <w:pStyle w:val="ListParagraph"/>
        <w:numPr>
          <w:ilvl w:val="2"/>
          <w:numId w:val="5"/>
        </w:numPr>
        <w:tabs>
          <w:tab w:val="left" w:pos="1193"/>
          <w:tab w:val="left" w:pos="1194"/>
        </w:tabs>
        <w:spacing w:before="2" w:line="256" w:lineRule="auto"/>
        <w:ind w:left="1193" w:right="1318"/>
        <w:rPr>
          <w:sz w:val="24"/>
        </w:rPr>
      </w:pPr>
      <w:r>
        <w:rPr>
          <w:sz w:val="24"/>
        </w:rPr>
        <w:t>Appropriate levels of professional engagement and</w:t>
      </w:r>
      <w:r w:rsidR="00AC7E2A">
        <w:rPr>
          <w:sz w:val="24"/>
        </w:rPr>
        <w:t xml:space="preserve"> evidence of</w:t>
      </w:r>
      <w:r>
        <w:rPr>
          <w:sz w:val="24"/>
        </w:rPr>
        <w:t xml:space="preserve"> inter-professional collaboration</w:t>
      </w:r>
      <w:r w:rsidR="00614400">
        <w:rPr>
          <w:sz w:val="24"/>
        </w:rPr>
        <w:t>.</w:t>
      </w:r>
    </w:p>
    <w:p w14:paraId="3271FFF2" w14:textId="17F4BD1C" w:rsidR="00AC7E2A" w:rsidRDefault="00AC7E2A">
      <w:pPr>
        <w:pStyle w:val="ListParagraph"/>
        <w:numPr>
          <w:ilvl w:val="1"/>
          <w:numId w:val="5"/>
        </w:numPr>
        <w:tabs>
          <w:tab w:val="left" w:pos="474"/>
        </w:tabs>
        <w:spacing w:before="2" w:line="259" w:lineRule="auto"/>
        <w:ind w:right="747"/>
        <w:rPr>
          <w:sz w:val="24"/>
        </w:rPr>
      </w:pPr>
      <w:r>
        <w:rPr>
          <w:sz w:val="24"/>
        </w:rPr>
        <w:t xml:space="preserve">The programme team involved in the programme’s delivery are </w:t>
      </w:r>
      <w:r w:rsidR="0012008A">
        <w:rPr>
          <w:sz w:val="24"/>
        </w:rPr>
        <w:t xml:space="preserve">collectively </w:t>
      </w:r>
      <w:r>
        <w:rPr>
          <w:sz w:val="24"/>
        </w:rPr>
        <w:t>able to demonstrate:</w:t>
      </w:r>
    </w:p>
    <w:p w14:paraId="7708E04D" w14:textId="05E8F69F" w:rsidR="00AC7E2A" w:rsidRDefault="00AC7E2A" w:rsidP="00AC7E2A">
      <w:pPr>
        <w:pStyle w:val="ListParagraph"/>
        <w:numPr>
          <w:ilvl w:val="0"/>
          <w:numId w:val="16"/>
        </w:numPr>
        <w:tabs>
          <w:tab w:val="left" w:pos="474"/>
        </w:tabs>
        <w:spacing w:before="2" w:line="259" w:lineRule="auto"/>
        <w:ind w:right="747"/>
        <w:rPr>
          <w:sz w:val="24"/>
          <w:szCs w:val="24"/>
        </w:rPr>
      </w:pPr>
      <w:r>
        <w:rPr>
          <w:sz w:val="24"/>
          <w:szCs w:val="24"/>
        </w:rPr>
        <w:t>Expertise at A</w:t>
      </w:r>
      <w:r w:rsidR="00044556">
        <w:rPr>
          <w:sz w:val="24"/>
          <w:szCs w:val="24"/>
        </w:rPr>
        <w:t xml:space="preserve">dvancing </w:t>
      </w:r>
      <w:r>
        <w:rPr>
          <w:sz w:val="24"/>
          <w:szCs w:val="24"/>
        </w:rPr>
        <w:t>P</w:t>
      </w:r>
      <w:r w:rsidR="00044556">
        <w:rPr>
          <w:sz w:val="24"/>
          <w:szCs w:val="24"/>
        </w:rPr>
        <w:t>ractice</w:t>
      </w:r>
      <w:r>
        <w:rPr>
          <w:sz w:val="24"/>
          <w:szCs w:val="24"/>
        </w:rPr>
        <w:t xml:space="preserve"> level</w:t>
      </w:r>
    </w:p>
    <w:p w14:paraId="79373A3D" w14:textId="7FD17D63" w:rsidR="00AC7E2A" w:rsidRPr="00AC7E2A" w:rsidRDefault="00AC7E2A" w:rsidP="00AC7E2A">
      <w:pPr>
        <w:pStyle w:val="ListParagraph"/>
        <w:numPr>
          <w:ilvl w:val="0"/>
          <w:numId w:val="16"/>
        </w:numPr>
        <w:tabs>
          <w:tab w:val="left" w:pos="474"/>
        </w:tabs>
        <w:spacing w:before="2" w:line="259" w:lineRule="auto"/>
        <w:ind w:right="747"/>
        <w:rPr>
          <w:sz w:val="24"/>
          <w:szCs w:val="24"/>
        </w:rPr>
      </w:pPr>
      <w:r>
        <w:rPr>
          <w:sz w:val="24"/>
          <w:szCs w:val="24"/>
        </w:rPr>
        <w:t>Expertise in the particular practice areas covered in the programme</w:t>
      </w:r>
      <w:r w:rsidR="00614400">
        <w:rPr>
          <w:sz w:val="24"/>
          <w:szCs w:val="24"/>
        </w:rPr>
        <w:t>.</w:t>
      </w:r>
    </w:p>
    <w:p w14:paraId="630C4757" w14:textId="71EADBA2" w:rsidR="0012290E" w:rsidRPr="00AC7E2A" w:rsidRDefault="003B6355" w:rsidP="00AC7E2A">
      <w:pPr>
        <w:pStyle w:val="ListParagraph"/>
        <w:numPr>
          <w:ilvl w:val="1"/>
          <w:numId w:val="5"/>
        </w:numPr>
        <w:tabs>
          <w:tab w:val="left" w:pos="474"/>
        </w:tabs>
        <w:spacing w:before="2" w:line="259" w:lineRule="auto"/>
        <w:ind w:right="747"/>
        <w:rPr>
          <w:sz w:val="24"/>
        </w:rPr>
      </w:pPr>
      <w:r w:rsidRPr="00AC7E2A">
        <w:rPr>
          <w:sz w:val="24"/>
        </w:rPr>
        <w:t>Arrangements are defined and implemented to oversee and co-ordinate the programme’s work-based learning components, including to ensure the</w:t>
      </w:r>
      <w:r w:rsidRPr="00AC7E2A">
        <w:rPr>
          <w:spacing w:val="-24"/>
          <w:sz w:val="24"/>
        </w:rPr>
        <w:t xml:space="preserve"> </w:t>
      </w:r>
      <w:r w:rsidRPr="00AC7E2A">
        <w:rPr>
          <w:sz w:val="24"/>
        </w:rPr>
        <w:t>following:</w:t>
      </w:r>
    </w:p>
    <w:p w14:paraId="6919C8D1" w14:textId="77777777" w:rsidR="0012290E" w:rsidRDefault="003B6355">
      <w:pPr>
        <w:pStyle w:val="ListParagraph"/>
        <w:numPr>
          <w:ilvl w:val="2"/>
          <w:numId w:val="5"/>
        </w:numPr>
        <w:tabs>
          <w:tab w:val="left" w:pos="905"/>
          <w:tab w:val="left" w:pos="906"/>
        </w:tabs>
        <w:ind w:left="905" w:hanging="432"/>
        <w:rPr>
          <w:sz w:val="24"/>
        </w:rPr>
      </w:pPr>
      <w:r>
        <w:rPr>
          <w:sz w:val="24"/>
        </w:rPr>
        <w:t>Their</w:t>
      </w:r>
      <w:r>
        <w:rPr>
          <w:spacing w:val="-2"/>
          <w:sz w:val="24"/>
        </w:rPr>
        <w:t xml:space="preserve"> </w:t>
      </w:r>
      <w:r>
        <w:rPr>
          <w:sz w:val="24"/>
        </w:rPr>
        <w:t>quality</w:t>
      </w:r>
    </w:p>
    <w:p w14:paraId="1D39EF91" w14:textId="77777777" w:rsidR="0012290E" w:rsidRDefault="003B6355">
      <w:pPr>
        <w:pStyle w:val="ListParagraph"/>
        <w:numPr>
          <w:ilvl w:val="2"/>
          <w:numId w:val="5"/>
        </w:numPr>
        <w:tabs>
          <w:tab w:val="left" w:pos="905"/>
          <w:tab w:val="left" w:pos="906"/>
        </w:tabs>
        <w:spacing w:before="86"/>
        <w:ind w:left="905" w:hanging="432"/>
        <w:rPr>
          <w:sz w:val="24"/>
        </w:rPr>
      </w:pPr>
      <w:r>
        <w:rPr>
          <w:sz w:val="24"/>
        </w:rPr>
        <w:t>Their effective integration within the programme</w:t>
      </w:r>
    </w:p>
    <w:p w14:paraId="52A847E5" w14:textId="2596D7B6" w:rsidR="0012290E" w:rsidRDefault="003B6355">
      <w:pPr>
        <w:pStyle w:val="ListParagraph"/>
        <w:numPr>
          <w:ilvl w:val="2"/>
          <w:numId w:val="5"/>
        </w:numPr>
        <w:tabs>
          <w:tab w:val="left" w:pos="905"/>
          <w:tab w:val="left" w:pos="906"/>
        </w:tabs>
        <w:spacing w:before="83" w:line="256" w:lineRule="auto"/>
        <w:ind w:left="905" w:right="1180" w:hanging="432"/>
        <w:rPr>
          <w:sz w:val="24"/>
        </w:rPr>
      </w:pPr>
      <w:r>
        <w:rPr>
          <w:sz w:val="24"/>
        </w:rPr>
        <w:t xml:space="preserve">Regular, structured communication with those supervising and assessing individuals’ </w:t>
      </w:r>
      <w:r w:rsidR="002240A8">
        <w:rPr>
          <w:sz w:val="24"/>
        </w:rPr>
        <w:t>learning in practice</w:t>
      </w:r>
      <w:r>
        <w:rPr>
          <w:spacing w:val="-1"/>
          <w:sz w:val="24"/>
        </w:rPr>
        <w:t xml:space="preserve"> </w:t>
      </w:r>
      <w:r>
        <w:rPr>
          <w:sz w:val="24"/>
        </w:rPr>
        <w:t>settings.</w:t>
      </w:r>
    </w:p>
    <w:p w14:paraId="1CDAFB34" w14:textId="798660B8" w:rsidR="0012290E" w:rsidRDefault="003B6355">
      <w:pPr>
        <w:pStyle w:val="ListParagraph"/>
        <w:numPr>
          <w:ilvl w:val="1"/>
          <w:numId w:val="5"/>
        </w:numPr>
        <w:tabs>
          <w:tab w:val="left" w:pos="474"/>
        </w:tabs>
        <w:spacing w:before="66" w:line="259" w:lineRule="auto"/>
        <w:ind w:right="583"/>
        <w:rPr>
          <w:sz w:val="24"/>
        </w:rPr>
      </w:pPr>
      <w:r>
        <w:rPr>
          <w:sz w:val="24"/>
        </w:rPr>
        <w:t>The programme’s development, delivery and review are informed by contemporary research and a research-active and evidence-based practice</w:t>
      </w:r>
      <w:r>
        <w:rPr>
          <w:spacing w:val="-7"/>
          <w:sz w:val="24"/>
        </w:rPr>
        <w:t xml:space="preserve"> </w:t>
      </w:r>
      <w:r>
        <w:rPr>
          <w:sz w:val="24"/>
        </w:rPr>
        <w:t>culture.</w:t>
      </w:r>
    </w:p>
    <w:p w14:paraId="33395F6A" w14:textId="004E9EDC" w:rsidR="00637F25" w:rsidRDefault="00637F25" w:rsidP="00637F25">
      <w:pPr>
        <w:tabs>
          <w:tab w:val="left" w:pos="474"/>
        </w:tabs>
        <w:spacing w:before="66" w:line="259" w:lineRule="auto"/>
        <w:ind w:right="583"/>
        <w:rPr>
          <w:sz w:val="24"/>
        </w:rPr>
      </w:pPr>
    </w:p>
    <w:p w14:paraId="633117B1" w14:textId="6E67B5B6" w:rsidR="00637F25" w:rsidRDefault="00637F25" w:rsidP="00564CC5">
      <w:pPr>
        <w:tabs>
          <w:tab w:val="left" w:pos="474"/>
        </w:tabs>
        <w:spacing w:before="66" w:line="259" w:lineRule="auto"/>
        <w:ind w:right="583"/>
        <w:rPr>
          <w:sz w:val="24"/>
        </w:rPr>
      </w:pPr>
    </w:p>
    <w:p w14:paraId="1BB306F3" w14:textId="77777777" w:rsidR="00EE384E" w:rsidRPr="00564CC5" w:rsidRDefault="00EE384E" w:rsidP="00564CC5">
      <w:pPr>
        <w:tabs>
          <w:tab w:val="left" w:pos="474"/>
        </w:tabs>
        <w:spacing w:before="66" w:line="259" w:lineRule="auto"/>
        <w:ind w:right="583"/>
        <w:rPr>
          <w:sz w:val="24"/>
        </w:rPr>
      </w:pPr>
    </w:p>
    <w:p w14:paraId="17E3B9A8" w14:textId="77777777" w:rsidR="0012290E" w:rsidRDefault="0012290E">
      <w:pPr>
        <w:pStyle w:val="BodyText"/>
        <w:spacing w:before="8"/>
        <w:rPr>
          <w:sz w:val="36"/>
        </w:rPr>
      </w:pPr>
    </w:p>
    <w:p w14:paraId="16562B9D" w14:textId="7B4ED129" w:rsidR="0012290E" w:rsidRPr="00EE384E" w:rsidRDefault="003B6355" w:rsidP="00073055">
      <w:pPr>
        <w:pStyle w:val="Heading2"/>
        <w:ind w:left="113"/>
        <w:rPr>
          <w:b/>
          <w:bCs/>
          <w:spacing w:val="12"/>
          <w:sz w:val="24"/>
          <w:szCs w:val="24"/>
        </w:rPr>
      </w:pPr>
      <w:bookmarkStart w:id="12" w:name="_Toc34395801"/>
      <w:r w:rsidRPr="00EE384E">
        <w:rPr>
          <w:b/>
          <w:bCs/>
          <w:spacing w:val="11"/>
          <w:sz w:val="24"/>
          <w:szCs w:val="24"/>
        </w:rPr>
        <w:t xml:space="preserve">Domain </w:t>
      </w:r>
      <w:r w:rsidRPr="00EE384E">
        <w:rPr>
          <w:b/>
          <w:bCs/>
          <w:spacing w:val="7"/>
          <w:sz w:val="24"/>
          <w:szCs w:val="24"/>
        </w:rPr>
        <w:t xml:space="preserve">6: </w:t>
      </w:r>
      <w:r w:rsidRPr="00EE384E">
        <w:rPr>
          <w:b/>
          <w:bCs/>
          <w:spacing w:val="12"/>
          <w:sz w:val="24"/>
          <w:szCs w:val="24"/>
        </w:rPr>
        <w:t>Learner</w:t>
      </w:r>
      <w:r w:rsidRPr="00EE384E">
        <w:rPr>
          <w:b/>
          <w:bCs/>
          <w:spacing w:val="77"/>
          <w:sz w:val="24"/>
          <w:szCs w:val="24"/>
        </w:rPr>
        <w:t xml:space="preserve"> </w:t>
      </w:r>
      <w:r w:rsidRPr="00EE384E">
        <w:rPr>
          <w:b/>
          <w:bCs/>
          <w:spacing w:val="12"/>
          <w:sz w:val="24"/>
          <w:szCs w:val="24"/>
        </w:rPr>
        <w:t>assessment</w:t>
      </w:r>
      <w:bookmarkEnd w:id="12"/>
    </w:p>
    <w:p w14:paraId="547EE80D" w14:textId="57D23FAE" w:rsidR="0012290E" w:rsidRDefault="0075157F" w:rsidP="00AF1D01">
      <w:pPr>
        <w:pStyle w:val="ListParagraph"/>
        <w:numPr>
          <w:ilvl w:val="1"/>
          <w:numId w:val="4"/>
        </w:numPr>
        <w:tabs>
          <w:tab w:val="left" w:pos="474"/>
        </w:tabs>
        <w:spacing w:before="162"/>
        <w:rPr>
          <w:sz w:val="24"/>
        </w:rPr>
      </w:pPr>
      <w:r w:rsidRPr="0075157F">
        <w:rPr>
          <w:sz w:val="24"/>
        </w:rPr>
        <w:t xml:space="preserve">The programme requires </w:t>
      </w:r>
      <w:r w:rsidR="00131FBC">
        <w:rPr>
          <w:sz w:val="24"/>
        </w:rPr>
        <w:t>l</w:t>
      </w:r>
      <w:r w:rsidR="003B6355">
        <w:rPr>
          <w:sz w:val="24"/>
        </w:rPr>
        <w:t xml:space="preserve">earner assessment </w:t>
      </w:r>
      <w:r w:rsidR="00131FBC">
        <w:rPr>
          <w:sz w:val="24"/>
        </w:rPr>
        <w:t xml:space="preserve">to </w:t>
      </w:r>
      <w:r w:rsidR="00AF1D01">
        <w:rPr>
          <w:sz w:val="24"/>
        </w:rPr>
        <w:t>c</w:t>
      </w:r>
      <w:r w:rsidR="003B6355" w:rsidRPr="00AF1D01">
        <w:rPr>
          <w:sz w:val="24"/>
        </w:rPr>
        <w:t>over all the pillars of A</w:t>
      </w:r>
      <w:r w:rsidR="00044556">
        <w:rPr>
          <w:sz w:val="24"/>
        </w:rPr>
        <w:t xml:space="preserve">dvancing </w:t>
      </w:r>
      <w:r w:rsidR="003B6355" w:rsidRPr="00AF1D01">
        <w:rPr>
          <w:sz w:val="24"/>
        </w:rPr>
        <w:t>P</w:t>
      </w:r>
      <w:r w:rsidR="00044556">
        <w:rPr>
          <w:sz w:val="24"/>
        </w:rPr>
        <w:t>ractice</w:t>
      </w:r>
      <w:r w:rsidR="0096493A" w:rsidRPr="00AF1D01" w:rsidDel="0096493A">
        <w:rPr>
          <w:sz w:val="24"/>
        </w:rPr>
        <w:t xml:space="preserve"> </w:t>
      </w:r>
      <w:r w:rsidR="003B6355" w:rsidRPr="00AF1D01">
        <w:rPr>
          <w:sz w:val="24"/>
        </w:rPr>
        <w:t xml:space="preserve">level practice and all the capabilities </w:t>
      </w:r>
      <w:r w:rsidR="00AF1D01">
        <w:rPr>
          <w:sz w:val="24"/>
        </w:rPr>
        <w:t>throughout the duration of the programme.</w:t>
      </w:r>
    </w:p>
    <w:p w14:paraId="463781A2" w14:textId="68E13E71" w:rsidR="0012290E" w:rsidRDefault="00131FBC">
      <w:pPr>
        <w:pStyle w:val="ListParagraph"/>
        <w:numPr>
          <w:ilvl w:val="1"/>
          <w:numId w:val="4"/>
        </w:numPr>
        <w:tabs>
          <w:tab w:val="left" w:pos="474"/>
        </w:tabs>
        <w:spacing w:line="259" w:lineRule="auto"/>
        <w:ind w:right="501"/>
        <w:rPr>
          <w:sz w:val="24"/>
        </w:rPr>
      </w:pPr>
      <w:r w:rsidRPr="0075157F">
        <w:rPr>
          <w:sz w:val="24"/>
        </w:rPr>
        <w:t xml:space="preserve">The programme requires </w:t>
      </w:r>
      <w:r w:rsidR="00AF1D01">
        <w:rPr>
          <w:sz w:val="24"/>
        </w:rPr>
        <w:t>learners to pass all programme components, with no compensation for any component or referrals.</w:t>
      </w:r>
    </w:p>
    <w:p w14:paraId="491F56B9" w14:textId="6153B931" w:rsidR="005A55AF" w:rsidRDefault="001E66E4" w:rsidP="00AF1D01">
      <w:pPr>
        <w:pStyle w:val="ListParagraph"/>
        <w:numPr>
          <w:ilvl w:val="1"/>
          <w:numId w:val="4"/>
        </w:numPr>
        <w:tabs>
          <w:tab w:val="left" w:pos="474"/>
        </w:tabs>
        <w:spacing w:line="259" w:lineRule="auto"/>
        <w:ind w:right="488"/>
        <w:rPr>
          <w:sz w:val="24"/>
        </w:rPr>
      </w:pPr>
      <w:r>
        <w:rPr>
          <w:sz w:val="24"/>
        </w:rPr>
        <w:t>Clinical and academic a</w:t>
      </w:r>
      <w:r w:rsidR="003B6355">
        <w:rPr>
          <w:sz w:val="24"/>
        </w:rPr>
        <w:t>ssessors include</w:t>
      </w:r>
      <w:r w:rsidR="005B532A">
        <w:rPr>
          <w:sz w:val="24"/>
        </w:rPr>
        <w:t xml:space="preserve"> those</w:t>
      </w:r>
      <w:r w:rsidR="00614400">
        <w:rPr>
          <w:sz w:val="24"/>
        </w:rPr>
        <w:t>:</w:t>
      </w:r>
    </w:p>
    <w:p w14:paraId="0A16C1A2" w14:textId="0A9573D1" w:rsidR="005A55AF" w:rsidRPr="005B532A" w:rsidRDefault="005B532A" w:rsidP="005B532A">
      <w:pPr>
        <w:pStyle w:val="ListParagraph"/>
        <w:numPr>
          <w:ilvl w:val="0"/>
          <w:numId w:val="17"/>
        </w:numPr>
        <w:tabs>
          <w:tab w:val="left" w:pos="474"/>
        </w:tabs>
        <w:spacing w:line="259" w:lineRule="auto"/>
        <w:ind w:right="488"/>
        <w:rPr>
          <w:sz w:val="24"/>
        </w:rPr>
      </w:pPr>
      <w:r w:rsidRPr="005B532A">
        <w:rPr>
          <w:sz w:val="24"/>
        </w:rPr>
        <w:t>with clinical expertise at A</w:t>
      </w:r>
      <w:r w:rsidR="00044556">
        <w:rPr>
          <w:sz w:val="24"/>
        </w:rPr>
        <w:t xml:space="preserve">dvancing </w:t>
      </w:r>
      <w:r w:rsidRPr="005B532A">
        <w:rPr>
          <w:sz w:val="24"/>
        </w:rPr>
        <w:t>P</w:t>
      </w:r>
      <w:r w:rsidR="00044556">
        <w:rPr>
          <w:sz w:val="24"/>
        </w:rPr>
        <w:t xml:space="preserve">ractice </w:t>
      </w:r>
      <w:r w:rsidRPr="005B532A">
        <w:rPr>
          <w:sz w:val="24"/>
        </w:rPr>
        <w:t>level</w:t>
      </w:r>
    </w:p>
    <w:p w14:paraId="28FAA24A" w14:textId="7CE1FDAF" w:rsidR="005B532A" w:rsidRDefault="005B532A" w:rsidP="005B532A">
      <w:pPr>
        <w:pStyle w:val="ListParagraph"/>
        <w:numPr>
          <w:ilvl w:val="0"/>
          <w:numId w:val="17"/>
        </w:numPr>
        <w:tabs>
          <w:tab w:val="left" w:pos="474"/>
        </w:tabs>
        <w:spacing w:line="259" w:lineRule="auto"/>
        <w:ind w:right="488"/>
        <w:rPr>
          <w:sz w:val="24"/>
        </w:rPr>
      </w:pPr>
      <w:r w:rsidRPr="00AF1D01">
        <w:rPr>
          <w:sz w:val="24"/>
        </w:rPr>
        <w:t>with the appropriate professional background</w:t>
      </w:r>
    </w:p>
    <w:p w14:paraId="5A750FD2" w14:textId="5E228182" w:rsidR="0012290E" w:rsidRPr="001E66E4" w:rsidRDefault="005B532A" w:rsidP="001E66E4">
      <w:pPr>
        <w:pStyle w:val="ListParagraph"/>
        <w:numPr>
          <w:ilvl w:val="0"/>
          <w:numId w:val="17"/>
        </w:numPr>
        <w:tabs>
          <w:tab w:val="left" w:pos="474"/>
        </w:tabs>
        <w:spacing w:line="259" w:lineRule="auto"/>
        <w:ind w:right="488"/>
        <w:rPr>
          <w:sz w:val="24"/>
        </w:rPr>
      </w:pPr>
      <w:r>
        <w:rPr>
          <w:sz w:val="24"/>
        </w:rPr>
        <w:t xml:space="preserve">with </w:t>
      </w:r>
      <w:r w:rsidRPr="00AF1D01">
        <w:rPr>
          <w:sz w:val="24"/>
        </w:rPr>
        <w:t>expertise to assess learning at academic level 7</w:t>
      </w:r>
      <w:r w:rsidR="00614400">
        <w:rPr>
          <w:sz w:val="24"/>
        </w:rPr>
        <w:t>.</w:t>
      </w:r>
    </w:p>
    <w:p w14:paraId="57ECE1AD" w14:textId="644A79E2" w:rsidR="0012290E" w:rsidRDefault="003B6355">
      <w:pPr>
        <w:pStyle w:val="ListParagraph"/>
        <w:numPr>
          <w:ilvl w:val="1"/>
          <w:numId w:val="4"/>
        </w:numPr>
        <w:tabs>
          <w:tab w:val="left" w:pos="474"/>
        </w:tabs>
        <w:spacing w:line="259" w:lineRule="auto"/>
        <w:ind w:right="461"/>
        <w:rPr>
          <w:sz w:val="24"/>
        </w:rPr>
      </w:pPr>
      <w:r>
        <w:rPr>
          <w:sz w:val="24"/>
        </w:rPr>
        <w:t>Assessment feedback is learner-centred, timely and linked to the</w:t>
      </w:r>
      <w:r w:rsidR="00522319">
        <w:rPr>
          <w:sz w:val="24"/>
        </w:rPr>
        <w:t xml:space="preserve"> programme and module</w:t>
      </w:r>
      <w:r>
        <w:rPr>
          <w:sz w:val="24"/>
        </w:rPr>
        <w:t xml:space="preserve"> learning outcomes and assessment</w:t>
      </w:r>
      <w:r>
        <w:rPr>
          <w:spacing w:val="-1"/>
          <w:sz w:val="24"/>
        </w:rPr>
        <w:t xml:space="preserve"> </w:t>
      </w:r>
      <w:r>
        <w:rPr>
          <w:sz w:val="24"/>
        </w:rPr>
        <w:t>criteria.</w:t>
      </w:r>
    </w:p>
    <w:p w14:paraId="03AF4921" w14:textId="22952EB8" w:rsidR="0012290E" w:rsidRDefault="003B6355">
      <w:pPr>
        <w:pStyle w:val="ListParagraph"/>
        <w:numPr>
          <w:ilvl w:val="1"/>
          <w:numId w:val="4"/>
        </w:numPr>
        <w:tabs>
          <w:tab w:val="left" w:pos="474"/>
        </w:tabs>
        <w:spacing w:before="61" w:line="259" w:lineRule="auto"/>
        <w:ind w:right="152"/>
        <w:rPr>
          <w:sz w:val="24"/>
        </w:rPr>
      </w:pPr>
      <w:r>
        <w:rPr>
          <w:sz w:val="24"/>
        </w:rPr>
        <w:t>Learners are made aware of their professional responsibilities in the event of their non- or unsuccessful completion of the programme</w:t>
      </w:r>
      <w:r w:rsidR="00522319">
        <w:rPr>
          <w:sz w:val="24"/>
        </w:rPr>
        <w:t xml:space="preserve"> in terms of not </w:t>
      </w:r>
      <w:r>
        <w:rPr>
          <w:sz w:val="24"/>
        </w:rPr>
        <w:t>misrepresenting the outcome of their learning or its implications for their professional</w:t>
      </w:r>
      <w:r>
        <w:rPr>
          <w:spacing w:val="-8"/>
          <w:sz w:val="24"/>
        </w:rPr>
        <w:t xml:space="preserve"> </w:t>
      </w:r>
      <w:r>
        <w:rPr>
          <w:sz w:val="24"/>
        </w:rPr>
        <w:t>practice.</w:t>
      </w:r>
    </w:p>
    <w:p w14:paraId="4AA1C851" w14:textId="34AE52B8" w:rsidR="003C2DB1" w:rsidRDefault="003C2DB1" w:rsidP="003C2DB1">
      <w:pPr>
        <w:tabs>
          <w:tab w:val="left" w:pos="474"/>
        </w:tabs>
        <w:spacing w:before="61" w:line="259" w:lineRule="auto"/>
        <w:ind w:right="152"/>
        <w:rPr>
          <w:sz w:val="24"/>
        </w:rPr>
      </w:pPr>
    </w:p>
    <w:p w14:paraId="41F243E9" w14:textId="678B04E0" w:rsidR="0012290E" w:rsidRDefault="003B6355">
      <w:pPr>
        <w:pStyle w:val="Heading2"/>
        <w:spacing w:before="92"/>
        <w:rPr>
          <w:b/>
          <w:bCs/>
          <w:spacing w:val="12"/>
          <w:sz w:val="24"/>
          <w:szCs w:val="24"/>
        </w:rPr>
      </w:pPr>
      <w:bookmarkStart w:id="13" w:name="_Toc34395802"/>
      <w:r w:rsidRPr="00073055">
        <w:rPr>
          <w:b/>
          <w:bCs/>
          <w:spacing w:val="11"/>
          <w:sz w:val="24"/>
          <w:szCs w:val="24"/>
        </w:rPr>
        <w:t xml:space="preserve">Domain </w:t>
      </w:r>
      <w:r w:rsidRPr="00073055">
        <w:rPr>
          <w:b/>
          <w:bCs/>
          <w:spacing w:val="7"/>
          <w:sz w:val="24"/>
          <w:szCs w:val="24"/>
        </w:rPr>
        <w:t xml:space="preserve">7: </w:t>
      </w:r>
      <w:r w:rsidRPr="00073055">
        <w:rPr>
          <w:b/>
          <w:bCs/>
          <w:spacing w:val="12"/>
          <w:sz w:val="24"/>
          <w:szCs w:val="24"/>
        </w:rPr>
        <w:t>Programme</w:t>
      </w:r>
      <w:r w:rsidRPr="00073055">
        <w:rPr>
          <w:b/>
          <w:bCs/>
          <w:spacing w:val="77"/>
          <w:sz w:val="24"/>
          <w:szCs w:val="24"/>
        </w:rPr>
        <w:t xml:space="preserve"> </w:t>
      </w:r>
      <w:r w:rsidRPr="00073055">
        <w:rPr>
          <w:b/>
          <w:bCs/>
          <w:spacing w:val="12"/>
          <w:sz w:val="24"/>
          <w:szCs w:val="24"/>
        </w:rPr>
        <w:t>management</w:t>
      </w:r>
      <w:bookmarkEnd w:id="13"/>
    </w:p>
    <w:p w14:paraId="3105E3D1" w14:textId="6CCF3296" w:rsidR="0012290E" w:rsidRDefault="003B6355" w:rsidP="00073055">
      <w:pPr>
        <w:pStyle w:val="ListParagraph"/>
        <w:numPr>
          <w:ilvl w:val="1"/>
          <w:numId w:val="3"/>
        </w:numPr>
        <w:tabs>
          <w:tab w:val="left" w:pos="474"/>
        </w:tabs>
        <w:spacing w:before="162"/>
        <w:ind w:left="476" w:hanging="363"/>
        <w:rPr>
          <w:sz w:val="24"/>
        </w:rPr>
      </w:pPr>
      <w:r>
        <w:rPr>
          <w:sz w:val="24"/>
        </w:rPr>
        <w:t>The programme is managed and resourced</w:t>
      </w:r>
      <w:r>
        <w:rPr>
          <w:spacing w:val="4"/>
          <w:sz w:val="24"/>
        </w:rPr>
        <w:t xml:space="preserve"> </w:t>
      </w:r>
      <w:r>
        <w:rPr>
          <w:sz w:val="24"/>
        </w:rPr>
        <w:t>to</w:t>
      </w:r>
      <w:r w:rsidR="00614400">
        <w:rPr>
          <w:sz w:val="24"/>
        </w:rPr>
        <w:t>:</w:t>
      </w:r>
    </w:p>
    <w:p w14:paraId="4A019727" w14:textId="77777777" w:rsidR="0012290E" w:rsidRDefault="003B6355">
      <w:pPr>
        <w:pStyle w:val="ListParagraph"/>
        <w:numPr>
          <w:ilvl w:val="2"/>
          <w:numId w:val="3"/>
        </w:numPr>
        <w:tabs>
          <w:tab w:val="left" w:pos="833"/>
          <w:tab w:val="left" w:pos="834"/>
        </w:tabs>
        <w:spacing w:before="87"/>
        <w:rPr>
          <w:sz w:val="24"/>
        </w:rPr>
      </w:pPr>
      <w:r>
        <w:rPr>
          <w:sz w:val="24"/>
        </w:rPr>
        <w:t>Provide a high-quality learning</w:t>
      </w:r>
      <w:r>
        <w:rPr>
          <w:spacing w:val="1"/>
          <w:sz w:val="24"/>
        </w:rPr>
        <w:t xml:space="preserve"> </w:t>
      </w:r>
      <w:r>
        <w:rPr>
          <w:sz w:val="24"/>
        </w:rPr>
        <w:t>experience</w:t>
      </w:r>
    </w:p>
    <w:p w14:paraId="3A107EEC" w14:textId="77777777" w:rsidR="0012290E" w:rsidRDefault="003B6355">
      <w:pPr>
        <w:pStyle w:val="ListParagraph"/>
        <w:numPr>
          <w:ilvl w:val="2"/>
          <w:numId w:val="3"/>
        </w:numPr>
        <w:tabs>
          <w:tab w:val="left" w:pos="833"/>
          <w:tab w:val="left" w:pos="834"/>
        </w:tabs>
        <w:spacing w:before="85"/>
        <w:rPr>
          <w:sz w:val="24"/>
        </w:rPr>
      </w:pPr>
      <w:r>
        <w:rPr>
          <w:sz w:val="24"/>
        </w:rPr>
        <w:t>Maintain the programme’s viability and</w:t>
      </w:r>
      <w:r>
        <w:rPr>
          <w:spacing w:val="-2"/>
          <w:sz w:val="24"/>
        </w:rPr>
        <w:t xml:space="preserve"> </w:t>
      </w:r>
      <w:r>
        <w:rPr>
          <w:sz w:val="24"/>
        </w:rPr>
        <w:t>sustainability</w:t>
      </w:r>
    </w:p>
    <w:p w14:paraId="25E1EFB7" w14:textId="624952B8" w:rsidR="0012290E" w:rsidRDefault="003B6355">
      <w:pPr>
        <w:pStyle w:val="ListParagraph"/>
        <w:numPr>
          <w:ilvl w:val="2"/>
          <w:numId w:val="3"/>
        </w:numPr>
        <w:tabs>
          <w:tab w:val="left" w:pos="833"/>
          <w:tab w:val="left" w:pos="834"/>
        </w:tabs>
        <w:spacing w:before="83" w:line="256" w:lineRule="auto"/>
        <w:ind w:right="1300"/>
        <w:rPr>
          <w:sz w:val="24"/>
        </w:rPr>
      </w:pPr>
      <w:r>
        <w:rPr>
          <w:sz w:val="24"/>
        </w:rPr>
        <w:t>Ensure risks, issues and opportunities are kept under regular review and appropriately managed and</w:t>
      </w:r>
      <w:r>
        <w:rPr>
          <w:spacing w:val="-3"/>
          <w:sz w:val="24"/>
        </w:rPr>
        <w:t xml:space="preserve"> </w:t>
      </w:r>
      <w:r>
        <w:rPr>
          <w:sz w:val="24"/>
        </w:rPr>
        <w:t>optimised.</w:t>
      </w:r>
    </w:p>
    <w:p w14:paraId="31F7539B" w14:textId="637B64EE" w:rsidR="00E61013" w:rsidRDefault="00E61013">
      <w:pPr>
        <w:pStyle w:val="ListParagraph"/>
        <w:numPr>
          <w:ilvl w:val="2"/>
          <w:numId w:val="3"/>
        </w:numPr>
        <w:tabs>
          <w:tab w:val="left" w:pos="833"/>
          <w:tab w:val="left" w:pos="834"/>
        </w:tabs>
        <w:spacing w:before="83" w:line="256" w:lineRule="auto"/>
        <w:ind w:right="1300"/>
        <w:rPr>
          <w:sz w:val="24"/>
        </w:rPr>
      </w:pPr>
      <w:r>
        <w:rPr>
          <w:sz w:val="24"/>
        </w:rPr>
        <w:t>Seek to build capacity and to sustain the programme’s ongoing delivery, including through encouraging and enabling alumni to contribute to the learning of future cohorts.</w:t>
      </w:r>
    </w:p>
    <w:p w14:paraId="0FDBD78E" w14:textId="413D4955" w:rsidR="00D70D4D" w:rsidRDefault="00D70D4D">
      <w:pPr>
        <w:pStyle w:val="ListParagraph"/>
        <w:numPr>
          <w:ilvl w:val="2"/>
          <w:numId w:val="3"/>
        </w:numPr>
        <w:tabs>
          <w:tab w:val="left" w:pos="833"/>
          <w:tab w:val="left" w:pos="834"/>
        </w:tabs>
        <w:spacing w:before="83" w:line="256" w:lineRule="auto"/>
        <w:ind w:right="1300"/>
        <w:rPr>
          <w:sz w:val="24"/>
        </w:rPr>
      </w:pPr>
      <w:r>
        <w:rPr>
          <w:sz w:val="24"/>
        </w:rPr>
        <w:t>Maintain the programme’s viability and sustainability</w:t>
      </w:r>
    </w:p>
    <w:p w14:paraId="1DB27438" w14:textId="63D4A6F1" w:rsidR="002230E1" w:rsidRPr="00D70D4D" w:rsidRDefault="00D70D4D" w:rsidP="00D70D4D">
      <w:pPr>
        <w:pStyle w:val="ListParagraph"/>
        <w:numPr>
          <w:ilvl w:val="2"/>
          <w:numId w:val="3"/>
        </w:numPr>
        <w:tabs>
          <w:tab w:val="left" w:pos="833"/>
          <w:tab w:val="left" w:pos="834"/>
        </w:tabs>
        <w:spacing w:before="83" w:line="256" w:lineRule="auto"/>
        <w:ind w:right="1300"/>
        <w:rPr>
          <w:sz w:val="24"/>
        </w:rPr>
      </w:pPr>
      <w:r>
        <w:rPr>
          <w:sz w:val="24"/>
        </w:rPr>
        <w:t>Ensure risks, issues and opportunities are kept under regular review and appropriately managed and optimised</w:t>
      </w:r>
      <w:r w:rsidR="00614400">
        <w:rPr>
          <w:sz w:val="24"/>
        </w:rPr>
        <w:t>.</w:t>
      </w:r>
    </w:p>
    <w:p w14:paraId="4B44A685" w14:textId="7DAB59CA" w:rsidR="0012290E" w:rsidRDefault="003B6355">
      <w:pPr>
        <w:pStyle w:val="ListParagraph"/>
        <w:numPr>
          <w:ilvl w:val="1"/>
          <w:numId w:val="3"/>
        </w:numPr>
        <w:tabs>
          <w:tab w:val="left" w:pos="474"/>
        </w:tabs>
        <w:spacing w:before="62" w:line="259" w:lineRule="auto"/>
        <w:ind w:left="473" w:right="718" w:hanging="361"/>
        <w:rPr>
          <w:sz w:val="24"/>
        </w:rPr>
      </w:pPr>
      <w:r>
        <w:rPr>
          <w:sz w:val="24"/>
        </w:rPr>
        <w:t>The programme award and title appropriately reflect the requirements of A</w:t>
      </w:r>
      <w:r w:rsidR="00044556">
        <w:rPr>
          <w:sz w:val="24"/>
        </w:rPr>
        <w:t xml:space="preserve">dvancing </w:t>
      </w:r>
      <w:r>
        <w:rPr>
          <w:sz w:val="24"/>
        </w:rPr>
        <w:t>P</w:t>
      </w:r>
      <w:r w:rsidR="00044556">
        <w:rPr>
          <w:sz w:val="24"/>
        </w:rPr>
        <w:t>ractice</w:t>
      </w:r>
      <w:r w:rsidR="002230E1">
        <w:rPr>
          <w:sz w:val="24"/>
        </w:rPr>
        <w:t xml:space="preserve"> </w:t>
      </w:r>
      <w:r>
        <w:rPr>
          <w:sz w:val="24"/>
        </w:rPr>
        <w:t>level</w:t>
      </w:r>
      <w:r w:rsidR="002230E1">
        <w:rPr>
          <w:sz w:val="24"/>
        </w:rPr>
        <w:t>.</w:t>
      </w:r>
    </w:p>
    <w:p w14:paraId="23B511F6" w14:textId="3E6278BC" w:rsidR="0012290E" w:rsidRDefault="003B6355">
      <w:pPr>
        <w:pStyle w:val="ListParagraph"/>
        <w:numPr>
          <w:ilvl w:val="1"/>
          <w:numId w:val="3"/>
        </w:numPr>
        <w:tabs>
          <w:tab w:val="left" w:pos="474"/>
        </w:tabs>
        <w:spacing w:before="63" w:line="259" w:lineRule="auto"/>
        <w:ind w:left="473" w:right="1102" w:hanging="361"/>
        <w:rPr>
          <w:sz w:val="24"/>
        </w:rPr>
      </w:pPr>
      <w:r>
        <w:rPr>
          <w:sz w:val="24"/>
        </w:rPr>
        <w:t xml:space="preserve">The programme exit awards do not imply eligibility for </w:t>
      </w:r>
      <w:r w:rsidR="002230E1">
        <w:rPr>
          <w:sz w:val="24"/>
        </w:rPr>
        <w:t>Centre</w:t>
      </w:r>
      <w:r>
        <w:rPr>
          <w:sz w:val="24"/>
        </w:rPr>
        <w:t xml:space="preserve"> recognition </w:t>
      </w:r>
      <w:r w:rsidR="003733B8">
        <w:rPr>
          <w:sz w:val="24"/>
        </w:rPr>
        <w:t>or any form of A</w:t>
      </w:r>
      <w:r w:rsidR="00044556">
        <w:rPr>
          <w:sz w:val="24"/>
        </w:rPr>
        <w:t xml:space="preserve">dvancing </w:t>
      </w:r>
      <w:r w:rsidR="003733B8">
        <w:rPr>
          <w:sz w:val="24"/>
        </w:rPr>
        <w:t>P</w:t>
      </w:r>
      <w:r w:rsidR="00044556">
        <w:rPr>
          <w:sz w:val="24"/>
        </w:rPr>
        <w:t>ractice</w:t>
      </w:r>
      <w:r w:rsidR="003733B8">
        <w:rPr>
          <w:sz w:val="24"/>
        </w:rPr>
        <w:t xml:space="preserve"> award </w:t>
      </w:r>
      <w:r w:rsidR="002230E1">
        <w:rPr>
          <w:sz w:val="24"/>
        </w:rPr>
        <w:t>where fulfilment of A</w:t>
      </w:r>
      <w:r w:rsidR="00044556">
        <w:rPr>
          <w:sz w:val="24"/>
        </w:rPr>
        <w:t xml:space="preserve">dvancing </w:t>
      </w:r>
      <w:r w:rsidR="002230E1">
        <w:rPr>
          <w:sz w:val="24"/>
        </w:rPr>
        <w:t>P</w:t>
      </w:r>
      <w:r w:rsidR="00044556">
        <w:rPr>
          <w:sz w:val="24"/>
        </w:rPr>
        <w:t xml:space="preserve">ractice </w:t>
      </w:r>
      <w:r w:rsidR="00292A79">
        <w:rPr>
          <w:sz w:val="24"/>
        </w:rPr>
        <w:t>capabilities</w:t>
      </w:r>
      <w:r w:rsidR="004B0A6D">
        <w:rPr>
          <w:sz w:val="24"/>
        </w:rPr>
        <w:t xml:space="preserve"> ha</w:t>
      </w:r>
      <w:r w:rsidR="00E15629">
        <w:rPr>
          <w:sz w:val="24"/>
        </w:rPr>
        <w:t>s</w:t>
      </w:r>
      <w:r w:rsidR="004B0A6D">
        <w:rPr>
          <w:sz w:val="24"/>
        </w:rPr>
        <w:t xml:space="preserve"> not been demonstrated.</w:t>
      </w:r>
    </w:p>
    <w:p w14:paraId="11DA6D67" w14:textId="00027C54" w:rsidR="004B0A6D" w:rsidRDefault="003B6355" w:rsidP="004B0A6D">
      <w:pPr>
        <w:pStyle w:val="ListParagraph"/>
        <w:numPr>
          <w:ilvl w:val="1"/>
          <w:numId w:val="3"/>
        </w:numPr>
        <w:tabs>
          <w:tab w:val="left" w:pos="474"/>
        </w:tabs>
        <w:spacing w:line="259" w:lineRule="auto"/>
        <w:ind w:left="473" w:right="702" w:hanging="361"/>
        <w:rPr>
          <w:sz w:val="24"/>
        </w:rPr>
        <w:sectPr w:rsidR="004B0A6D" w:rsidSect="009A75AA">
          <w:footnotePr>
            <w:numStart w:val="8"/>
          </w:footnotePr>
          <w:pgSz w:w="11900" w:h="16850"/>
          <w:pgMar w:top="1660" w:right="1040" w:bottom="1200" w:left="1020" w:header="720" w:footer="475" w:gutter="0"/>
          <w:cols w:space="720"/>
        </w:sectPr>
      </w:pPr>
      <w:r>
        <w:rPr>
          <w:sz w:val="24"/>
        </w:rPr>
        <w:t>The education provider ensures responsiveness to the learning needs of different professional groups and specific workforce development needs, including</w:t>
      </w:r>
      <w:r w:rsidR="004B0A6D">
        <w:rPr>
          <w:spacing w:val="-22"/>
          <w:sz w:val="24"/>
        </w:rPr>
        <w:t xml:space="preserve"> m</w:t>
      </w:r>
      <w:r w:rsidRPr="004B0A6D">
        <w:rPr>
          <w:sz w:val="24"/>
        </w:rPr>
        <w:t>anaging the inter-dependencies between core, optional and open/shell</w:t>
      </w:r>
      <w:r w:rsidRPr="004B0A6D">
        <w:rPr>
          <w:spacing w:val="-15"/>
          <w:sz w:val="24"/>
        </w:rPr>
        <w:t xml:space="preserve"> </w:t>
      </w:r>
      <w:r w:rsidRPr="004B0A6D">
        <w:rPr>
          <w:sz w:val="24"/>
        </w:rPr>
        <w:t>modules</w:t>
      </w:r>
    </w:p>
    <w:p w14:paraId="48E94090" w14:textId="77777777" w:rsidR="0012290E" w:rsidRDefault="003B6355">
      <w:pPr>
        <w:pStyle w:val="ListParagraph"/>
        <w:numPr>
          <w:ilvl w:val="1"/>
          <w:numId w:val="3"/>
        </w:numPr>
        <w:tabs>
          <w:tab w:val="left" w:pos="474"/>
        </w:tabs>
        <w:spacing w:before="82" w:line="259" w:lineRule="auto"/>
        <w:ind w:left="473" w:right="195" w:hanging="361"/>
        <w:rPr>
          <w:sz w:val="24"/>
        </w:rPr>
      </w:pPr>
      <w:r>
        <w:rPr>
          <w:sz w:val="24"/>
        </w:rPr>
        <w:t>An appropriately qualified and registered health or care professional is the named lead for the programme and for any specific pathways offered within</w:t>
      </w:r>
      <w:r>
        <w:rPr>
          <w:spacing w:val="-7"/>
          <w:sz w:val="24"/>
        </w:rPr>
        <w:t xml:space="preserve"> </w:t>
      </w:r>
      <w:r>
        <w:rPr>
          <w:sz w:val="24"/>
        </w:rPr>
        <w:t>it.</w:t>
      </w:r>
    </w:p>
    <w:p w14:paraId="375E9F2B" w14:textId="2F3DCEAD" w:rsidR="0012290E" w:rsidRDefault="003B6355">
      <w:pPr>
        <w:pStyle w:val="ListParagraph"/>
        <w:numPr>
          <w:ilvl w:val="1"/>
          <w:numId w:val="3"/>
        </w:numPr>
        <w:tabs>
          <w:tab w:val="left" w:pos="474"/>
        </w:tabs>
        <w:spacing w:before="65" w:line="259" w:lineRule="auto"/>
        <w:ind w:left="473" w:right="608" w:hanging="361"/>
        <w:rPr>
          <w:sz w:val="24"/>
        </w:rPr>
      </w:pPr>
      <w:r>
        <w:rPr>
          <w:sz w:val="24"/>
        </w:rPr>
        <w:lastRenderedPageBreak/>
        <w:t>Practitioners working at A</w:t>
      </w:r>
      <w:r w:rsidR="00044556">
        <w:rPr>
          <w:sz w:val="24"/>
        </w:rPr>
        <w:t xml:space="preserve">dvancing </w:t>
      </w:r>
      <w:r>
        <w:rPr>
          <w:sz w:val="24"/>
        </w:rPr>
        <w:t>P</w:t>
      </w:r>
      <w:r w:rsidR="00044556">
        <w:rPr>
          <w:sz w:val="24"/>
        </w:rPr>
        <w:t>ractice</w:t>
      </w:r>
      <w:r>
        <w:rPr>
          <w:sz w:val="24"/>
        </w:rPr>
        <w:t xml:space="preserve"> level are part of the programme team and involved in the programme’s leadership, design, delivery and review.</w:t>
      </w:r>
    </w:p>
    <w:p w14:paraId="40D45A5D" w14:textId="77777777" w:rsidR="0012290E" w:rsidRDefault="003B6355">
      <w:pPr>
        <w:pStyle w:val="ListParagraph"/>
        <w:numPr>
          <w:ilvl w:val="1"/>
          <w:numId w:val="3"/>
        </w:numPr>
        <w:tabs>
          <w:tab w:val="left" w:pos="833"/>
          <w:tab w:val="left" w:pos="834"/>
        </w:tabs>
        <w:spacing w:line="259" w:lineRule="auto"/>
        <w:ind w:left="473" w:right="448" w:hanging="361"/>
        <w:rPr>
          <w:sz w:val="24"/>
        </w:rPr>
      </w:pPr>
      <w:r>
        <w:rPr>
          <w:sz w:val="24"/>
        </w:rPr>
        <w:t>Communication channels between all parties involved in the programme’s development, delivery, administration and evaluation are clear, used and kept under review.</w:t>
      </w:r>
    </w:p>
    <w:p w14:paraId="2D9B71CF" w14:textId="49363D78" w:rsidR="0012290E" w:rsidRDefault="003B6355">
      <w:pPr>
        <w:pStyle w:val="ListParagraph"/>
        <w:numPr>
          <w:ilvl w:val="1"/>
          <w:numId w:val="3"/>
        </w:numPr>
        <w:tabs>
          <w:tab w:val="left" w:pos="833"/>
          <w:tab w:val="left" w:pos="834"/>
        </w:tabs>
        <w:spacing w:line="259" w:lineRule="auto"/>
        <w:ind w:left="473" w:right="221" w:hanging="361"/>
        <w:rPr>
          <w:sz w:val="24"/>
        </w:rPr>
      </w:pPr>
      <w:r>
        <w:rPr>
          <w:sz w:val="24"/>
        </w:rPr>
        <w:t xml:space="preserve">Supervisory arrangements and processes for learners within the academic and work-based settings in which their learning takes place are actively managed, including use of a Learning </w:t>
      </w:r>
      <w:r w:rsidR="00AD08FF">
        <w:rPr>
          <w:sz w:val="24"/>
        </w:rPr>
        <w:t xml:space="preserve">Needs Analysis </w:t>
      </w:r>
      <w:r>
        <w:rPr>
          <w:sz w:val="24"/>
        </w:rPr>
        <w:t>completed by all relevant parties, and kept under</w:t>
      </w:r>
      <w:r>
        <w:rPr>
          <w:spacing w:val="-1"/>
          <w:sz w:val="24"/>
        </w:rPr>
        <w:t xml:space="preserve"> </w:t>
      </w:r>
      <w:r>
        <w:rPr>
          <w:sz w:val="24"/>
        </w:rPr>
        <w:t>review.</w:t>
      </w:r>
    </w:p>
    <w:p w14:paraId="58202584" w14:textId="7A685FBB" w:rsidR="007B461E" w:rsidRDefault="007B461E">
      <w:pPr>
        <w:pStyle w:val="BodyText"/>
        <w:spacing w:before="6"/>
        <w:rPr>
          <w:sz w:val="26"/>
        </w:rPr>
      </w:pPr>
    </w:p>
    <w:p w14:paraId="112D7223" w14:textId="7454D9F3" w:rsidR="00522319" w:rsidRDefault="00522319">
      <w:pPr>
        <w:pStyle w:val="BodyText"/>
        <w:spacing w:before="6"/>
        <w:rPr>
          <w:sz w:val="26"/>
        </w:rPr>
      </w:pPr>
    </w:p>
    <w:p w14:paraId="763A3D01" w14:textId="334347C6" w:rsidR="002B0AF1" w:rsidRDefault="002B0AF1">
      <w:pPr>
        <w:pStyle w:val="BodyText"/>
        <w:spacing w:before="6"/>
        <w:rPr>
          <w:sz w:val="26"/>
        </w:rPr>
      </w:pPr>
    </w:p>
    <w:p w14:paraId="37254CE0" w14:textId="2D02EDF7" w:rsidR="002B0AF1" w:rsidRDefault="002B0AF1">
      <w:pPr>
        <w:pStyle w:val="BodyText"/>
        <w:spacing w:before="6"/>
        <w:rPr>
          <w:sz w:val="26"/>
        </w:rPr>
      </w:pPr>
    </w:p>
    <w:p w14:paraId="646FE63C" w14:textId="33E06CE8" w:rsidR="002B0AF1" w:rsidRDefault="002B0AF1">
      <w:pPr>
        <w:pStyle w:val="BodyText"/>
        <w:spacing w:before="6"/>
        <w:rPr>
          <w:sz w:val="26"/>
        </w:rPr>
      </w:pPr>
    </w:p>
    <w:p w14:paraId="43BEC358" w14:textId="0858D041" w:rsidR="002B0AF1" w:rsidRDefault="002B0AF1">
      <w:pPr>
        <w:pStyle w:val="BodyText"/>
        <w:spacing w:before="6"/>
        <w:rPr>
          <w:sz w:val="26"/>
        </w:rPr>
      </w:pPr>
    </w:p>
    <w:p w14:paraId="5239F374" w14:textId="143D7891" w:rsidR="002B0AF1" w:rsidRDefault="002B0AF1">
      <w:pPr>
        <w:pStyle w:val="BodyText"/>
        <w:spacing w:before="6"/>
        <w:rPr>
          <w:sz w:val="26"/>
        </w:rPr>
      </w:pPr>
    </w:p>
    <w:p w14:paraId="15471AD6" w14:textId="63DD3425" w:rsidR="002B0AF1" w:rsidRDefault="002B0AF1">
      <w:pPr>
        <w:pStyle w:val="BodyText"/>
        <w:spacing w:before="6"/>
        <w:rPr>
          <w:sz w:val="26"/>
        </w:rPr>
      </w:pPr>
    </w:p>
    <w:p w14:paraId="38265652" w14:textId="4B8AE9DF" w:rsidR="002B0AF1" w:rsidRDefault="002B0AF1">
      <w:pPr>
        <w:pStyle w:val="BodyText"/>
        <w:spacing w:before="6"/>
        <w:rPr>
          <w:sz w:val="26"/>
        </w:rPr>
      </w:pPr>
    </w:p>
    <w:p w14:paraId="2B3AFAB6" w14:textId="10B0E4C6" w:rsidR="006E4C3B" w:rsidRDefault="006E4C3B">
      <w:pPr>
        <w:pStyle w:val="BodyText"/>
        <w:spacing w:before="6"/>
        <w:rPr>
          <w:sz w:val="26"/>
        </w:rPr>
      </w:pPr>
    </w:p>
    <w:p w14:paraId="6D452C6F" w14:textId="11C69A7C" w:rsidR="006E4C3B" w:rsidRDefault="006E4C3B">
      <w:pPr>
        <w:pStyle w:val="BodyText"/>
        <w:spacing w:before="6"/>
        <w:rPr>
          <w:sz w:val="26"/>
        </w:rPr>
      </w:pPr>
    </w:p>
    <w:p w14:paraId="0B2139C7" w14:textId="14B239A6" w:rsidR="006E4C3B" w:rsidRDefault="006E4C3B">
      <w:pPr>
        <w:pStyle w:val="BodyText"/>
        <w:spacing w:before="6"/>
        <w:rPr>
          <w:sz w:val="26"/>
        </w:rPr>
      </w:pPr>
    </w:p>
    <w:p w14:paraId="145A4B2E" w14:textId="6702EE30" w:rsidR="006E4C3B" w:rsidRDefault="006E4C3B">
      <w:pPr>
        <w:pStyle w:val="BodyText"/>
        <w:spacing w:before="6"/>
        <w:rPr>
          <w:sz w:val="26"/>
        </w:rPr>
      </w:pPr>
    </w:p>
    <w:p w14:paraId="76789667" w14:textId="0B2EEE00" w:rsidR="006E4C3B" w:rsidRDefault="006E4C3B">
      <w:pPr>
        <w:pStyle w:val="BodyText"/>
        <w:spacing w:before="6"/>
        <w:rPr>
          <w:sz w:val="26"/>
        </w:rPr>
      </w:pPr>
    </w:p>
    <w:p w14:paraId="226D1DCA" w14:textId="4F1C932B" w:rsidR="006E4C3B" w:rsidRDefault="006E4C3B">
      <w:pPr>
        <w:pStyle w:val="BodyText"/>
        <w:spacing w:before="6"/>
        <w:rPr>
          <w:sz w:val="26"/>
        </w:rPr>
      </w:pPr>
    </w:p>
    <w:p w14:paraId="1646A8B9" w14:textId="2FC37B5A" w:rsidR="006E4C3B" w:rsidRDefault="006E4C3B">
      <w:pPr>
        <w:pStyle w:val="BodyText"/>
        <w:spacing w:before="6"/>
        <w:rPr>
          <w:sz w:val="26"/>
        </w:rPr>
      </w:pPr>
    </w:p>
    <w:p w14:paraId="796003BC" w14:textId="737C2D8B" w:rsidR="006E4C3B" w:rsidRDefault="006E4C3B">
      <w:pPr>
        <w:pStyle w:val="BodyText"/>
        <w:spacing w:before="6"/>
        <w:rPr>
          <w:sz w:val="26"/>
        </w:rPr>
      </w:pPr>
    </w:p>
    <w:p w14:paraId="7DEC1D36" w14:textId="66299A39" w:rsidR="006E4C3B" w:rsidRDefault="006E4C3B">
      <w:pPr>
        <w:pStyle w:val="BodyText"/>
        <w:spacing w:before="6"/>
        <w:rPr>
          <w:sz w:val="26"/>
        </w:rPr>
      </w:pPr>
    </w:p>
    <w:p w14:paraId="650E756A" w14:textId="76BB553F" w:rsidR="006E4C3B" w:rsidRDefault="006E4C3B">
      <w:pPr>
        <w:pStyle w:val="BodyText"/>
        <w:spacing w:before="6"/>
        <w:rPr>
          <w:sz w:val="26"/>
        </w:rPr>
      </w:pPr>
    </w:p>
    <w:p w14:paraId="0BC247C1" w14:textId="37475FF3" w:rsidR="006E4C3B" w:rsidRDefault="006E4C3B">
      <w:pPr>
        <w:pStyle w:val="BodyText"/>
        <w:spacing w:before="6"/>
        <w:rPr>
          <w:sz w:val="26"/>
        </w:rPr>
      </w:pPr>
    </w:p>
    <w:p w14:paraId="4838C6E4" w14:textId="4532FBF5" w:rsidR="006E4C3B" w:rsidRDefault="006E4C3B">
      <w:pPr>
        <w:pStyle w:val="BodyText"/>
        <w:spacing w:before="6"/>
        <w:rPr>
          <w:sz w:val="26"/>
        </w:rPr>
      </w:pPr>
    </w:p>
    <w:p w14:paraId="4FF8CBC2" w14:textId="16AD9E95" w:rsidR="006E4C3B" w:rsidRDefault="006E4C3B">
      <w:pPr>
        <w:pStyle w:val="BodyText"/>
        <w:spacing w:before="6"/>
        <w:rPr>
          <w:sz w:val="26"/>
        </w:rPr>
      </w:pPr>
    </w:p>
    <w:p w14:paraId="1DA96A16" w14:textId="07578B10" w:rsidR="006E4C3B" w:rsidRDefault="006E4C3B">
      <w:pPr>
        <w:pStyle w:val="BodyText"/>
        <w:spacing w:before="6"/>
        <w:rPr>
          <w:sz w:val="26"/>
        </w:rPr>
      </w:pPr>
    </w:p>
    <w:p w14:paraId="447E99B6" w14:textId="47DBBE19" w:rsidR="006E4C3B" w:rsidRDefault="006E4C3B">
      <w:pPr>
        <w:pStyle w:val="BodyText"/>
        <w:spacing w:before="6"/>
        <w:rPr>
          <w:sz w:val="26"/>
        </w:rPr>
      </w:pPr>
    </w:p>
    <w:p w14:paraId="54189CE6" w14:textId="4F47F8E6" w:rsidR="006E4C3B" w:rsidRDefault="006E4C3B">
      <w:pPr>
        <w:pStyle w:val="BodyText"/>
        <w:spacing w:before="6"/>
        <w:rPr>
          <w:sz w:val="26"/>
        </w:rPr>
      </w:pPr>
    </w:p>
    <w:p w14:paraId="17246520" w14:textId="6A4840BC" w:rsidR="006E4C3B" w:rsidRDefault="006E4C3B">
      <w:pPr>
        <w:pStyle w:val="BodyText"/>
        <w:spacing w:before="6"/>
        <w:rPr>
          <w:sz w:val="26"/>
        </w:rPr>
      </w:pPr>
    </w:p>
    <w:p w14:paraId="70E84A67" w14:textId="1A7B5705" w:rsidR="006E4C3B" w:rsidRDefault="006E4C3B">
      <w:pPr>
        <w:pStyle w:val="BodyText"/>
        <w:spacing w:before="6"/>
        <w:rPr>
          <w:sz w:val="26"/>
        </w:rPr>
      </w:pPr>
    </w:p>
    <w:p w14:paraId="08C60933" w14:textId="305BADB7" w:rsidR="006E4C3B" w:rsidRDefault="006E4C3B">
      <w:pPr>
        <w:pStyle w:val="BodyText"/>
        <w:spacing w:before="6"/>
        <w:rPr>
          <w:sz w:val="26"/>
        </w:rPr>
      </w:pPr>
    </w:p>
    <w:p w14:paraId="48240432" w14:textId="28C1CD47" w:rsidR="006E4C3B" w:rsidRDefault="006E4C3B">
      <w:pPr>
        <w:pStyle w:val="BodyText"/>
        <w:spacing w:before="6"/>
        <w:rPr>
          <w:sz w:val="26"/>
        </w:rPr>
      </w:pPr>
    </w:p>
    <w:p w14:paraId="2DECF1D7" w14:textId="76067ECC" w:rsidR="006E4C3B" w:rsidRDefault="006E4C3B">
      <w:pPr>
        <w:pStyle w:val="BodyText"/>
        <w:spacing w:before="6"/>
        <w:rPr>
          <w:sz w:val="26"/>
        </w:rPr>
      </w:pPr>
    </w:p>
    <w:p w14:paraId="723B5310" w14:textId="68EE8FDC" w:rsidR="006E4C3B" w:rsidRDefault="006E4C3B">
      <w:pPr>
        <w:pStyle w:val="BodyText"/>
        <w:spacing w:before="6"/>
        <w:rPr>
          <w:sz w:val="26"/>
        </w:rPr>
      </w:pPr>
    </w:p>
    <w:p w14:paraId="2311DF4A" w14:textId="7FAFD0BA" w:rsidR="006E4C3B" w:rsidRDefault="006E4C3B">
      <w:pPr>
        <w:pStyle w:val="BodyText"/>
        <w:spacing w:before="6"/>
        <w:rPr>
          <w:sz w:val="26"/>
        </w:rPr>
      </w:pPr>
    </w:p>
    <w:p w14:paraId="16E76E47" w14:textId="477E5343" w:rsidR="006E4C3B" w:rsidRDefault="006E4C3B">
      <w:pPr>
        <w:pStyle w:val="BodyText"/>
        <w:spacing w:before="6"/>
        <w:rPr>
          <w:sz w:val="26"/>
        </w:rPr>
      </w:pPr>
    </w:p>
    <w:p w14:paraId="544D1764" w14:textId="2C87404E" w:rsidR="006E4C3B" w:rsidRDefault="006E4C3B">
      <w:pPr>
        <w:pStyle w:val="BodyText"/>
        <w:spacing w:before="6"/>
        <w:rPr>
          <w:sz w:val="26"/>
        </w:rPr>
      </w:pPr>
    </w:p>
    <w:p w14:paraId="5BBAB62B" w14:textId="24EB748D" w:rsidR="006E4C3B" w:rsidRDefault="006E4C3B">
      <w:pPr>
        <w:pStyle w:val="BodyText"/>
        <w:spacing w:before="6"/>
        <w:rPr>
          <w:sz w:val="26"/>
        </w:rPr>
      </w:pPr>
    </w:p>
    <w:p w14:paraId="77E31265" w14:textId="5D45B057" w:rsidR="006E4C3B" w:rsidRDefault="006E4C3B">
      <w:pPr>
        <w:pStyle w:val="BodyText"/>
        <w:spacing w:before="6"/>
        <w:rPr>
          <w:sz w:val="26"/>
        </w:rPr>
      </w:pPr>
    </w:p>
    <w:p w14:paraId="3496BBDE" w14:textId="77777777" w:rsidR="00522319" w:rsidRDefault="00522319">
      <w:pPr>
        <w:pStyle w:val="BodyText"/>
        <w:spacing w:before="6"/>
        <w:rPr>
          <w:sz w:val="26"/>
        </w:rPr>
      </w:pPr>
    </w:p>
    <w:p w14:paraId="7C06408B" w14:textId="65DA7030" w:rsidR="0012290E" w:rsidRPr="005D6695" w:rsidRDefault="003B6355">
      <w:pPr>
        <w:pStyle w:val="Heading1"/>
        <w:spacing w:before="0"/>
        <w:rPr>
          <w:color w:val="003893"/>
          <w:sz w:val="28"/>
          <w:szCs w:val="28"/>
        </w:rPr>
      </w:pPr>
      <w:bookmarkStart w:id="14" w:name="_Toc34395803"/>
      <w:r w:rsidRPr="005D6695">
        <w:rPr>
          <w:color w:val="003893"/>
          <w:sz w:val="28"/>
          <w:szCs w:val="28"/>
        </w:rPr>
        <w:t xml:space="preserve">Section 3: Demonstrating fulfilment of the </w:t>
      </w:r>
      <w:r w:rsidR="006636A6" w:rsidRPr="005D6695">
        <w:rPr>
          <w:color w:val="003893"/>
          <w:sz w:val="28"/>
          <w:szCs w:val="28"/>
        </w:rPr>
        <w:t>SET</w:t>
      </w:r>
      <w:bookmarkEnd w:id="14"/>
    </w:p>
    <w:p w14:paraId="16E7068A" w14:textId="77777777" w:rsidR="0012290E" w:rsidRPr="00073055" w:rsidRDefault="003B6355">
      <w:pPr>
        <w:pStyle w:val="Heading2"/>
        <w:spacing w:before="308"/>
        <w:rPr>
          <w:b/>
          <w:bCs/>
          <w:sz w:val="24"/>
          <w:szCs w:val="24"/>
        </w:rPr>
      </w:pPr>
      <w:bookmarkStart w:id="15" w:name="_Toc34395804"/>
      <w:r w:rsidRPr="00073055">
        <w:rPr>
          <w:b/>
          <w:bCs/>
          <w:spacing w:val="12"/>
          <w:sz w:val="24"/>
          <w:szCs w:val="24"/>
        </w:rPr>
        <w:t xml:space="preserve">Programme credit </w:t>
      </w:r>
      <w:r w:rsidRPr="00073055">
        <w:rPr>
          <w:b/>
          <w:bCs/>
          <w:spacing w:val="9"/>
          <w:sz w:val="24"/>
          <w:szCs w:val="24"/>
        </w:rPr>
        <w:t>and</w:t>
      </w:r>
      <w:r w:rsidRPr="00073055">
        <w:rPr>
          <w:b/>
          <w:bCs/>
          <w:spacing w:val="71"/>
          <w:sz w:val="24"/>
          <w:szCs w:val="24"/>
        </w:rPr>
        <w:t xml:space="preserve"> </w:t>
      </w:r>
      <w:r w:rsidRPr="00073055">
        <w:rPr>
          <w:b/>
          <w:bCs/>
          <w:spacing w:val="11"/>
          <w:sz w:val="24"/>
          <w:szCs w:val="24"/>
        </w:rPr>
        <w:t>awards</w:t>
      </w:r>
      <w:bookmarkEnd w:id="15"/>
    </w:p>
    <w:p w14:paraId="37F2A14B" w14:textId="13D77838" w:rsidR="0012290E" w:rsidRDefault="003B6355">
      <w:pPr>
        <w:pStyle w:val="BodyText"/>
        <w:spacing w:before="162" w:line="268" w:lineRule="auto"/>
        <w:ind w:left="112" w:right="543"/>
      </w:pPr>
      <w:r>
        <w:t>For programmes to be considered for accreditation, the</w:t>
      </w:r>
      <w:r w:rsidR="00742AED">
        <w:t xml:space="preserve"> programme</w:t>
      </w:r>
      <w:r>
        <w:t xml:space="preserve"> </w:t>
      </w:r>
      <w:r w:rsidR="00742AED">
        <w:t>needs</w:t>
      </w:r>
      <w:r>
        <w:t xml:space="preserve"> to map fully to all the </w:t>
      </w:r>
      <w:r w:rsidR="009D7451">
        <w:t>f</w:t>
      </w:r>
      <w:r w:rsidR="008A2B9C">
        <w:t xml:space="preserve">ramework </w:t>
      </w:r>
      <w:r>
        <w:t xml:space="preserve">capabilities. Programmes that only enable partial fulfilment of </w:t>
      </w:r>
      <w:r w:rsidR="008A2B9C">
        <w:t xml:space="preserve">the </w:t>
      </w:r>
      <w:r w:rsidR="009D7451">
        <w:t xml:space="preserve">capabilities of the Multi-professional framework for advanced clinical practice in England </w:t>
      </w:r>
      <w:r>
        <w:t>cannot be considered for accreditation.</w:t>
      </w:r>
    </w:p>
    <w:p w14:paraId="722286D2" w14:textId="77777777" w:rsidR="0012290E" w:rsidRDefault="0012290E">
      <w:pPr>
        <w:pStyle w:val="BodyText"/>
        <w:spacing w:before="1"/>
        <w:rPr>
          <w:sz w:val="27"/>
        </w:rPr>
      </w:pPr>
    </w:p>
    <w:p w14:paraId="1FA38F47" w14:textId="7957C47D" w:rsidR="00813210" w:rsidRDefault="009D7451" w:rsidP="00813210">
      <w:pPr>
        <w:pStyle w:val="BodyText"/>
        <w:spacing w:line="268" w:lineRule="auto"/>
        <w:ind w:left="112" w:right="742"/>
      </w:pPr>
      <w:r>
        <w:t>HEE</w:t>
      </w:r>
      <w:r w:rsidR="003B6355">
        <w:t xml:space="preserve"> </w:t>
      </w:r>
      <w:r w:rsidR="008B63F2">
        <w:t>requires that</w:t>
      </w:r>
      <w:r w:rsidR="003B6355">
        <w:t xml:space="preserve"> education programme</w:t>
      </w:r>
      <w:r w:rsidR="008B63F2">
        <w:t xml:space="preserve">s are delivered at level 7 and result in a postgraduate award to </w:t>
      </w:r>
      <w:r w:rsidR="003B6355">
        <w:t>enable fulfilment of the A</w:t>
      </w:r>
      <w:r w:rsidR="000A023E">
        <w:t xml:space="preserve">dvancing </w:t>
      </w:r>
      <w:r w:rsidR="003B6355">
        <w:t>P</w:t>
      </w:r>
      <w:r w:rsidR="000A023E">
        <w:t>ractice</w:t>
      </w:r>
      <w:r w:rsidR="003B6355">
        <w:t xml:space="preserve"> </w:t>
      </w:r>
      <w:r w:rsidR="00FA7349">
        <w:t xml:space="preserve">Framework </w:t>
      </w:r>
      <w:r w:rsidR="003B6355">
        <w:t>capabilities.</w:t>
      </w:r>
      <w:r w:rsidR="008B63F2">
        <w:t xml:space="preserve"> The qualification is normally expected to result in the award of a Master of Science (MSc)</w:t>
      </w:r>
      <w:r w:rsidR="00813210">
        <w:t>. The scope and volume of learning required by the A</w:t>
      </w:r>
      <w:r w:rsidR="000A023E">
        <w:t xml:space="preserve">dvancing </w:t>
      </w:r>
      <w:r w:rsidR="00813210">
        <w:t>P</w:t>
      </w:r>
      <w:r w:rsidR="000A023E">
        <w:t>ractice</w:t>
      </w:r>
      <w:r w:rsidR="00813210">
        <w:t xml:space="preserve"> Framework capabilities is such that awards to which a relatively small number of credits are attached (e.g. a Postgraduate Certificate (PgCert)) will not meet the  accreditation requirements. </w:t>
      </w:r>
    </w:p>
    <w:p w14:paraId="371A6C76" w14:textId="77777777" w:rsidR="00813210" w:rsidRDefault="00813210" w:rsidP="00813210">
      <w:pPr>
        <w:pStyle w:val="BodyText"/>
        <w:spacing w:line="268" w:lineRule="auto"/>
        <w:ind w:left="112" w:right="742"/>
      </w:pPr>
    </w:p>
    <w:p w14:paraId="6B70CA3F" w14:textId="5BD06750" w:rsidR="008B63F2" w:rsidRDefault="008B63F2" w:rsidP="00813210">
      <w:pPr>
        <w:pStyle w:val="BodyText"/>
        <w:spacing w:line="268" w:lineRule="auto"/>
        <w:ind w:left="112" w:right="742"/>
      </w:pPr>
      <w:r>
        <w:t>‘Normally’</w:t>
      </w:r>
      <w:r w:rsidR="00813210">
        <w:t xml:space="preserve"> in threshold requirement </w:t>
      </w:r>
      <w:r w:rsidR="00B410A1">
        <w:t>c</w:t>
      </w:r>
      <w:r w:rsidR="00813210">
        <w:t xml:space="preserve">) </w:t>
      </w:r>
      <w:r>
        <w:t xml:space="preserve">indicates that </w:t>
      </w:r>
      <w:r w:rsidR="00813210">
        <w:t xml:space="preserve">some </w:t>
      </w:r>
      <w:r>
        <w:t>existing programmes that result in the award of a Postgraduate diploma (PGDip) may</w:t>
      </w:r>
      <w:r w:rsidR="00813210">
        <w:t xml:space="preserve"> nonetheless</w:t>
      </w:r>
      <w:r>
        <w:t xml:space="preserve"> be able to demonstrate</w:t>
      </w:r>
      <w:r w:rsidR="00813210">
        <w:t xml:space="preserve"> the required scope and volume of learning to </w:t>
      </w:r>
      <w:r>
        <w:t xml:space="preserve">become accredited. These programmes would </w:t>
      </w:r>
      <w:r w:rsidR="00813210">
        <w:t>be expected</w:t>
      </w:r>
      <w:r>
        <w:t xml:space="preserve"> to transition to an MSc award</w:t>
      </w:r>
      <w:r w:rsidR="00813210">
        <w:t xml:space="preserve"> in due course.</w:t>
      </w:r>
    </w:p>
    <w:p w14:paraId="1B0D495E" w14:textId="77777777" w:rsidR="008B63F2" w:rsidRDefault="008B63F2" w:rsidP="00DE5DFA">
      <w:pPr>
        <w:pStyle w:val="BodyText"/>
        <w:spacing w:line="268" w:lineRule="auto"/>
        <w:ind w:left="112" w:right="742"/>
      </w:pPr>
    </w:p>
    <w:p w14:paraId="5608D0BA" w14:textId="77777777" w:rsidR="0012290E" w:rsidRDefault="0012290E">
      <w:pPr>
        <w:pStyle w:val="BodyText"/>
        <w:rPr>
          <w:sz w:val="27"/>
        </w:rPr>
      </w:pPr>
    </w:p>
    <w:p w14:paraId="2B3C5433" w14:textId="77777777" w:rsidR="0012290E" w:rsidRPr="002A5587" w:rsidRDefault="003B6355">
      <w:pPr>
        <w:pStyle w:val="Heading2"/>
        <w:rPr>
          <w:b/>
          <w:bCs/>
          <w:sz w:val="24"/>
          <w:szCs w:val="24"/>
        </w:rPr>
      </w:pPr>
      <w:bookmarkStart w:id="16" w:name="_Toc34395805"/>
      <w:r w:rsidRPr="002A5587">
        <w:rPr>
          <w:b/>
          <w:bCs/>
          <w:sz w:val="24"/>
          <w:szCs w:val="24"/>
        </w:rPr>
        <w:t>Programme documentation</w:t>
      </w:r>
      <w:bookmarkEnd w:id="16"/>
    </w:p>
    <w:p w14:paraId="44770032" w14:textId="127CCF95" w:rsidR="0012290E" w:rsidRDefault="009D7451">
      <w:pPr>
        <w:pStyle w:val="BodyText"/>
        <w:spacing w:before="162" w:line="268" w:lineRule="auto"/>
        <w:ind w:left="112" w:right="344"/>
      </w:pPr>
      <w:r>
        <w:t>HEE</w:t>
      </w:r>
      <w:r w:rsidR="003B6355">
        <w:t xml:space="preserve"> provides template</w:t>
      </w:r>
      <w:r w:rsidR="00253860">
        <w:t>s</w:t>
      </w:r>
      <w:r w:rsidR="003B6355">
        <w:t xml:space="preserve"> for education providers to demonstrate how a programme fulfils the SET</w:t>
      </w:r>
      <w:r w:rsidR="00253860">
        <w:t xml:space="preserve"> and A</w:t>
      </w:r>
      <w:r w:rsidR="001518D4">
        <w:t xml:space="preserve">dvancing </w:t>
      </w:r>
      <w:r w:rsidR="00253860">
        <w:t>P</w:t>
      </w:r>
      <w:r w:rsidR="001518D4">
        <w:t>ractice</w:t>
      </w:r>
      <w:r w:rsidR="00253860">
        <w:t xml:space="preserve"> Framework</w:t>
      </w:r>
      <w:r w:rsidR="003B6355">
        <w:t>. The template</w:t>
      </w:r>
      <w:r w:rsidR="00253860">
        <w:t>s</w:t>
      </w:r>
      <w:r w:rsidR="003B6355">
        <w:t xml:space="preserve"> serve as a self-assessment document (SAD) that is critically reviewed through </w:t>
      </w:r>
      <w:r>
        <w:t xml:space="preserve">HEE’s </w:t>
      </w:r>
      <w:r w:rsidR="003B6355">
        <w:t>accreditation processes.</w:t>
      </w:r>
    </w:p>
    <w:p w14:paraId="102CCFDA" w14:textId="77777777" w:rsidR="0012290E" w:rsidRDefault="0012290E">
      <w:pPr>
        <w:pStyle w:val="BodyText"/>
        <w:rPr>
          <w:sz w:val="14"/>
        </w:rPr>
      </w:pPr>
    </w:p>
    <w:p w14:paraId="335AC52F" w14:textId="77777777" w:rsidR="00284F97" w:rsidRDefault="003B6355">
      <w:pPr>
        <w:pStyle w:val="BodyText"/>
        <w:spacing w:before="93" w:line="268" w:lineRule="auto"/>
        <w:ind w:left="112"/>
        <w:rPr>
          <w:spacing w:val="-4"/>
        </w:rPr>
      </w:pPr>
      <w:r>
        <w:t>If an education provider offers more than one programme for which it wishes to seek accreditation,</w:t>
      </w:r>
      <w:r>
        <w:rPr>
          <w:spacing w:val="-2"/>
        </w:rPr>
        <w:t xml:space="preserve"> </w:t>
      </w:r>
      <w:r>
        <w:t>each</w:t>
      </w:r>
      <w:r>
        <w:rPr>
          <w:spacing w:val="-3"/>
        </w:rPr>
        <w:t xml:space="preserve"> </w:t>
      </w:r>
      <w:r w:rsidR="00275B07">
        <w:rPr>
          <w:spacing w:val="-3"/>
        </w:rPr>
        <w:t xml:space="preserve">programme submission </w:t>
      </w:r>
      <w:r w:rsidR="00275B07">
        <w:t>need</w:t>
      </w:r>
      <w:r>
        <w:t>s</w:t>
      </w:r>
      <w:r>
        <w:rPr>
          <w:spacing w:val="-7"/>
        </w:rPr>
        <w:t xml:space="preserve"> </w:t>
      </w:r>
      <w:r>
        <w:t>to</w:t>
      </w:r>
      <w:r>
        <w:rPr>
          <w:spacing w:val="-6"/>
        </w:rPr>
        <w:t xml:space="preserve"> </w:t>
      </w:r>
      <w:r>
        <w:t>be</w:t>
      </w:r>
      <w:r>
        <w:rPr>
          <w:spacing w:val="-6"/>
        </w:rPr>
        <w:t xml:space="preserve"> </w:t>
      </w:r>
      <w:r>
        <w:t>submitted</w:t>
      </w:r>
      <w:r>
        <w:rPr>
          <w:spacing w:val="-3"/>
        </w:rPr>
        <w:t xml:space="preserve"> </w:t>
      </w:r>
      <w:r>
        <w:t>on</w:t>
      </w:r>
      <w:r>
        <w:rPr>
          <w:spacing w:val="-4"/>
        </w:rPr>
        <w:t xml:space="preserve"> </w:t>
      </w:r>
      <w:r>
        <w:t>a</w:t>
      </w:r>
      <w:r>
        <w:rPr>
          <w:spacing w:val="-6"/>
        </w:rPr>
        <w:t xml:space="preserve"> </w:t>
      </w:r>
      <w:r>
        <w:t>separate</w:t>
      </w:r>
      <w:r>
        <w:rPr>
          <w:spacing w:val="-5"/>
        </w:rPr>
        <w:t xml:space="preserve"> </w:t>
      </w:r>
      <w:r>
        <w:t>SAD.</w:t>
      </w:r>
      <w:r>
        <w:rPr>
          <w:spacing w:val="-4"/>
        </w:rPr>
        <w:t xml:space="preserve"> </w:t>
      </w:r>
    </w:p>
    <w:p w14:paraId="710A7EA0" w14:textId="3B60B040" w:rsidR="004019C6" w:rsidRDefault="003B6355" w:rsidP="00253860">
      <w:pPr>
        <w:pStyle w:val="BodyText"/>
        <w:spacing w:before="93" w:line="268" w:lineRule="auto"/>
        <w:ind w:left="142"/>
      </w:pPr>
      <w:r>
        <w:t>However,</w:t>
      </w:r>
      <w:r>
        <w:rPr>
          <w:spacing w:val="-5"/>
        </w:rPr>
        <w:t xml:space="preserve"> </w:t>
      </w:r>
      <w:r>
        <w:t>multiple pathways</w:t>
      </w:r>
      <w:r>
        <w:rPr>
          <w:spacing w:val="-11"/>
        </w:rPr>
        <w:t xml:space="preserve"> </w:t>
      </w:r>
      <w:r>
        <w:t>through</w:t>
      </w:r>
      <w:r>
        <w:rPr>
          <w:spacing w:val="-10"/>
        </w:rPr>
        <w:t xml:space="preserve"> </w:t>
      </w:r>
      <w:r>
        <w:t>one</w:t>
      </w:r>
      <w:r>
        <w:rPr>
          <w:spacing w:val="-13"/>
        </w:rPr>
        <w:t xml:space="preserve"> </w:t>
      </w:r>
      <w:r>
        <w:t>programme</w:t>
      </w:r>
      <w:r>
        <w:rPr>
          <w:spacing w:val="-10"/>
        </w:rPr>
        <w:t xml:space="preserve"> </w:t>
      </w:r>
      <w:r>
        <w:t>can</w:t>
      </w:r>
      <w:r>
        <w:rPr>
          <w:spacing w:val="-13"/>
        </w:rPr>
        <w:t xml:space="preserve"> </w:t>
      </w:r>
      <w:r>
        <w:t>be</w:t>
      </w:r>
      <w:r>
        <w:rPr>
          <w:spacing w:val="-12"/>
        </w:rPr>
        <w:t xml:space="preserve"> </w:t>
      </w:r>
      <w:r>
        <w:t>submitted</w:t>
      </w:r>
      <w:r>
        <w:rPr>
          <w:spacing w:val="-12"/>
        </w:rPr>
        <w:t xml:space="preserve"> </w:t>
      </w:r>
      <w:r>
        <w:t>for</w:t>
      </w:r>
      <w:r>
        <w:rPr>
          <w:spacing w:val="-12"/>
        </w:rPr>
        <w:t xml:space="preserve"> </w:t>
      </w:r>
      <w:r>
        <w:t>accreditation</w:t>
      </w:r>
      <w:r>
        <w:rPr>
          <w:spacing w:val="-12"/>
        </w:rPr>
        <w:t xml:space="preserve"> </w:t>
      </w:r>
      <w:r>
        <w:t>through</w:t>
      </w:r>
      <w:r>
        <w:rPr>
          <w:spacing w:val="-10"/>
        </w:rPr>
        <w:t xml:space="preserve"> </w:t>
      </w:r>
      <w:r>
        <w:t>a</w:t>
      </w:r>
      <w:r>
        <w:rPr>
          <w:spacing w:val="-11"/>
        </w:rPr>
        <w:t xml:space="preserve"> </w:t>
      </w:r>
      <w:r>
        <w:t>single</w:t>
      </w:r>
      <w:r>
        <w:rPr>
          <w:spacing w:val="-12"/>
        </w:rPr>
        <w:t xml:space="preserve"> </w:t>
      </w:r>
      <w:r>
        <w:t>SAD, providing</w:t>
      </w:r>
      <w:r>
        <w:rPr>
          <w:spacing w:val="-18"/>
        </w:rPr>
        <w:t xml:space="preserve"> </w:t>
      </w:r>
      <w:r>
        <w:t>that</w:t>
      </w:r>
      <w:r>
        <w:rPr>
          <w:spacing w:val="-15"/>
        </w:rPr>
        <w:t xml:space="preserve"> </w:t>
      </w:r>
      <w:r>
        <w:t>the</w:t>
      </w:r>
      <w:r>
        <w:rPr>
          <w:spacing w:val="-18"/>
        </w:rPr>
        <w:t xml:space="preserve"> </w:t>
      </w:r>
      <w:r>
        <w:t>distinctive</w:t>
      </w:r>
      <w:r>
        <w:rPr>
          <w:spacing w:val="-15"/>
        </w:rPr>
        <w:t xml:space="preserve"> </w:t>
      </w:r>
      <w:r>
        <w:t>features</w:t>
      </w:r>
      <w:r>
        <w:rPr>
          <w:spacing w:val="-18"/>
        </w:rPr>
        <w:t xml:space="preserve"> </w:t>
      </w:r>
      <w:r>
        <w:t>of</w:t>
      </w:r>
      <w:r>
        <w:rPr>
          <w:spacing w:val="-16"/>
        </w:rPr>
        <w:t xml:space="preserve"> </w:t>
      </w:r>
      <w:r>
        <w:t>each</w:t>
      </w:r>
      <w:r>
        <w:rPr>
          <w:spacing w:val="-16"/>
        </w:rPr>
        <w:t xml:space="preserve"> </w:t>
      </w:r>
      <w:r>
        <w:t>pathway</w:t>
      </w:r>
      <w:r>
        <w:rPr>
          <w:spacing w:val="-18"/>
        </w:rPr>
        <w:t xml:space="preserve"> </w:t>
      </w:r>
      <w:r>
        <w:t>(including</w:t>
      </w:r>
      <w:r>
        <w:rPr>
          <w:spacing w:val="-17"/>
        </w:rPr>
        <w:t xml:space="preserve"> </w:t>
      </w:r>
      <w:r>
        <w:t>the</w:t>
      </w:r>
      <w:r>
        <w:rPr>
          <w:spacing w:val="-15"/>
        </w:rPr>
        <w:t xml:space="preserve"> </w:t>
      </w:r>
      <w:r>
        <w:t>title</w:t>
      </w:r>
      <w:r>
        <w:rPr>
          <w:spacing w:val="-15"/>
        </w:rPr>
        <w:t xml:space="preserve"> </w:t>
      </w:r>
      <w:r>
        <w:t>of</w:t>
      </w:r>
      <w:r>
        <w:rPr>
          <w:spacing w:val="-17"/>
        </w:rPr>
        <w:t xml:space="preserve"> </w:t>
      </w:r>
      <w:r>
        <w:t>academic</w:t>
      </w:r>
      <w:r>
        <w:rPr>
          <w:spacing w:val="-16"/>
        </w:rPr>
        <w:t xml:space="preserve"> </w:t>
      </w:r>
      <w:r>
        <w:t>award) are clearly</w:t>
      </w:r>
      <w:r>
        <w:rPr>
          <w:spacing w:val="-2"/>
        </w:rPr>
        <w:t xml:space="preserve"> </w:t>
      </w:r>
      <w:r>
        <w:t>explained.</w:t>
      </w:r>
    </w:p>
    <w:p w14:paraId="75D8DCE1" w14:textId="7FBE2DAF" w:rsidR="0012290E" w:rsidRDefault="003B6355">
      <w:pPr>
        <w:pStyle w:val="BodyText"/>
        <w:spacing w:before="118" w:line="268" w:lineRule="auto"/>
        <w:ind w:left="122" w:right="560"/>
      </w:pPr>
      <w:r>
        <w:t>It may be possible to demonstrate that an established programme is eligible for retrospective accreditation from a specified point. If a programme is accredited on this basis, alumni of the programme (from the specified point) are eligible for recognition.</w:t>
      </w:r>
      <w:r w:rsidR="00410487">
        <w:t xml:space="preserve"> Separate guidance on this point will be discussed with the HEI and separate guidance will be issued.</w:t>
      </w:r>
    </w:p>
    <w:p w14:paraId="513669E5" w14:textId="77777777" w:rsidR="004019C6" w:rsidRDefault="004019C6">
      <w:pPr>
        <w:pStyle w:val="BodyText"/>
        <w:spacing w:before="9"/>
        <w:rPr>
          <w:sz w:val="26"/>
        </w:rPr>
      </w:pPr>
    </w:p>
    <w:p w14:paraId="215A448C" w14:textId="6191C429" w:rsidR="0012290E" w:rsidRPr="002B7E3C" w:rsidRDefault="003B6355">
      <w:pPr>
        <w:pStyle w:val="Heading2"/>
        <w:rPr>
          <w:b/>
          <w:bCs/>
          <w:sz w:val="24"/>
          <w:szCs w:val="24"/>
        </w:rPr>
      </w:pPr>
      <w:bookmarkStart w:id="17" w:name="_Toc34395806"/>
      <w:r w:rsidRPr="002B7E3C">
        <w:rPr>
          <w:b/>
          <w:bCs/>
          <w:sz w:val="24"/>
          <w:szCs w:val="24"/>
        </w:rPr>
        <w:lastRenderedPageBreak/>
        <w:t>Outcomes of submitting a programme</w:t>
      </w:r>
      <w:bookmarkEnd w:id="17"/>
    </w:p>
    <w:p w14:paraId="1F046F9A" w14:textId="77777777" w:rsidR="0012290E" w:rsidRDefault="003B6355">
      <w:pPr>
        <w:pStyle w:val="BodyText"/>
        <w:spacing w:before="162"/>
        <w:ind w:left="112"/>
      </w:pPr>
      <w:r>
        <w:t>The possible outcomes of considering a programme for accreditation are as follows:</w:t>
      </w:r>
    </w:p>
    <w:p w14:paraId="083A1807" w14:textId="77777777" w:rsidR="0012290E" w:rsidRDefault="0012290E">
      <w:pPr>
        <w:pStyle w:val="BodyText"/>
        <w:spacing w:before="10"/>
        <w:rPr>
          <w:sz w:val="29"/>
        </w:rPr>
      </w:pPr>
    </w:p>
    <w:p w14:paraId="686C4878" w14:textId="3DEB8584" w:rsidR="001F4AD6" w:rsidRDefault="001F4AD6" w:rsidP="001F4AD6">
      <w:pPr>
        <w:pStyle w:val="ListParagraph"/>
        <w:numPr>
          <w:ilvl w:val="0"/>
          <w:numId w:val="1"/>
        </w:numPr>
        <w:tabs>
          <w:tab w:val="left" w:pos="474"/>
        </w:tabs>
        <w:spacing w:before="1" w:line="268" w:lineRule="auto"/>
        <w:ind w:right="1021"/>
        <w:rPr>
          <w:sz w:val="24"/>
        </w:rPr>
      </w:pPr>
      <w:r>
        <w:rPr>
          <w:sz w:val="24"/>
        </w:rPr>
        <w:t>The programme does not meet the  threshold requirements to be considered for accreditation, with these needing to be addressed prior to being prepared for</w:t>
      </w:r>
      <w:r>
        <w:rPr>
          <w:spacing w:val="-2"/>
          <w:sz w:val="24"/>
        </w:rPr>
        <w:t xml:space="preserve"> </w:t>
      </w:r>
      <w:r w:rsidR="003733B8">
        <w:rPr>
          <w:spacing w:val="-2"/>
          <w:sz w:val="24"/>
        </w:rPr>
        <w:t>re-</w:t>
      </w:r>
      <w:r>
        <w:rPr>
          <w:sz w:val="24"/>
        </w:rPr>
        <w:t>submission.</w:t>
      </w:r>
    </w:p>
    <w:p w14:paraId="37B8770C" w14:textId="790C6788" w:rsidR="0012290E" w:rsidRDefault="003B6355">
      <w:pPr>
        <w:pStyle w:val="ListParagraph"/>
        <w:numPr>
          <w:ilvl w:val="0"/>
          <w:numId w:val="1"/>
        </w:numPr>
        <w:tabs>
          <w:tab w:val="left" w:pos="474"/>
        </w:tabs>
        <w:spacing w:before="0" w:line="268" w:lineRule="auto"/>
        <w:ind w:right="106"/>
        <w:rPr>
          <w:sz w:val="24"/>
        </w:rPr>
      </w:pPr>
      <w:r>
        <w:rPr>
          <w:sz w:val="24"/>
        </w:rPr>
        <w:t>The programme is deemed both to enable the A</w:t>
      </w:r>
      <w:r w:rsidR="001518D4">
        <w:rPr>
          <w:sz w:val="24"/>
        </w:rPr>
        <w:t xml:space="preserve">dvancing </w:t>
      </w:r>
      <w:r>
        <w:rPr>
          <w:sz w:val="24"/>
        </w:rPr>
        <w:t>P</w:t>
      </w:r>
      <w:r w:rsidR="001518D4">
        <w:rPr>
          <w:sz w:val="24"/>
        </w:rPr>
        <w:t>ractice</w:t>
      </w:r>
      <w:r w:rsidR="00F11551">
        <w:rPr>
          <w:sz w:val="24"/>
        </w:rPr>
        <w:t xml:space="preserve"> </w:t>
      </w:r>
      <w:r>
        <w:rPr>
          <w:sz w:val="24"/>
        </w:rPr>
        <w:t xml:space="preserve">capabilities to be met in full and to fulfil the </w:t>
      </w:r>
      <w:r w:rsidR="006636A6">
        <w:rPr>
          <w:sz w:val="24"/>
        </w:rPr>
        <w:t>SET</w:t>
      </w:r>
      <w:r>
        <w:rPr>
          <w:sz w:val="24"/>
        </w:rPr>
        <w:t xml:space="preserve"> in full and is therefore </w:t>
      </w:r>
      <w:r w:rsidRPr="001F4AD6">
        <w:rPr>
          <w:b/>
          <w:bCs/>
          <w:sz w:val="24"/>
        </w:rPr>
        <w:t>accredited</w:t>
      </w:r>
      <w:r>
        <w:rPr>
          <w:sz w:val="24"/>
        </w:rPr>
        <w:t xml:space="preserve"> </w:t>
      </w:r>
    </w:p>
    <w:p w14:paraId="3ABBCB2C" w14:textId="01233307" w:rsidR="0012290E" w:rsidRDefault="00AB6BA8">
      <w:pPr>
        <w:pStyle w:val="ListParagraph"/>
        <w:numPr>
          <w:ilvl w:val="0"/>
          <w:numId w:val="1"/>
        </w:numPr>
        <w:tabs>
          <w:tab w:val="left" w:pos="474"/>
        </w:tabs>
        <w:spacing w:before="1" w:line="268" w:lineRule="auto"/>
        <w:ind w:right="353"/>
        <w:rPr>
          <w:sz w:val="24"/>
        </w:rPr>
      </w:pPr>
      <w:r>
        <w:rPr>
          <w:sz w:val="24"/>
        </w:rPr>
        <w:t xml:space="preserve">HEE </w:t>
      </w:r>
      <w:r w:rsidR="003B6355">
        <w:rPr>
          <w:sz w:val="24"/>
        </w:rPr>
        <w:t xml:space="preserve">requires </w:t>
      </w:r>
      <w:r w:rsidR="003B6355" w:rsidRPr="00564CC5">
        <w:rPr>
          <w:b/>
          <w:bCs/>
          <w:sz w:val="24"/>
        </w:rPr>
        <w:t>more information</w:t>
      </w:r>
      <w:r w:rsidR="003733B8">
        <w:rPr>
          <w:b/>
          <w:bCs/>
          <w:sz w:val="24"/>
        </w:rPr>
        <w:t xml:space="preserve"> </w:t>
      </w:r>
      <w:r w:rsidR="003733B8">
        <w:rPr>
          <w:sz w:val="24"/>
        </w:rPr>
        <w:t xml:space="preserve">in specified areas </w:t>
      </w:r>
      <w:r w:rsidR="003733B8">
        <w:rPr>
          <w:b/>
          <w:bCs/>
          <w:sz w:val="24"/>
        </w:rPr>
        <w:t>or a site visit</w:t>
      </w:r>
      <w:r w:rsidR="003B6355">
        <w:rPr>
          <w:sz w:val="24"/>
        </w:rPr>
        <w:t xml:space="preserve"> to demonstrate that the programme enables the A</w:t>
      </w:r>
      <w:r w:rsidR="001518D4">
        <w:rPr>
          <w:sz w:val="24"/>
        </w:rPr>
        <w:t xml:space="preserve">dvancing </w:t>
      </w:r>
      <w:r w:rsidR="003B6355">
        <w:rPr>
          <w:sz w:val="24"/>
        </w:rPr>
        <w:t>P</w:t>
      </w:r>
      <w:r w:rsidR="001518D4">
        <w:rPr>
          <w:sz w:val="24"/>
        </w:rPr>
        <w:t xml:space="preserve">ractice </w:t>
      </w:r>
      <w:r w:rsidR="003B6355">
        <w:rPr>
          <w:sz w:val="24"/>
        </w:rPr>
        <w:t>capabilities to be met in full, and/or that the programme fully meets the</w:t>
      </w:r>
      <w:r w:rsidR="003B6355">
        <w:rPr>
          <w:spacing w:val="-4"/>
          <w:sz w:val="24"/>
        </w:rPr>
        <w:t xml:space="preserve"> </w:t>
      </w:r>
      <w:r w:rsidR="006636A6">
        <w:rPr>
          <w:sz w:val="24"/>
        </w:rPr>
        <w:t>SET</w:t>
      </w:r>
    </w:p>
    <w:p w14:paraId="516E1938" w14:textId="01060C92" w:rsidR="0012290E" w:rsidRPr="00FC7F1C" w:rsidRDefault="003B6355" w:rsidP="00FC7F1C">
      <w:pPr>
        <w:pStyle w:val="ListParagraph"/>
        <w:numPr>
          <w:ilvl w:val="0"/>
          <w:numId w:val="1"/>
        </w:numPr>
        <w:tabs>
          <w:tab w:val="left" w:pos="474"/>
        </w:tabs>
        <w:spacing w:before="0" w:line="268" w:lineRule="auto"/>
        <w:ind w:right="608"/>
        <w:rPr>
          <w:sz w:val="24"/>
        </w:rPr>
      </w:pPr>
      <w:r>
        <w:rPr>
          <w:sz w:val="24"/>
        </w:rPr>
        <w:t>The programme</w:t>
      </w:r>
      <w:r w:rsidR="00FC7F1C">
        <w:rPr>
          <w:sz w:val="24"/>
        </w:rPr>
        <w:t xml:space="preserve"> or evidence submitted</w:t>
      </w:r>
      <w:r>
        <w:rPr>
          <w:sz w:val="24"/>
        </w:rPr>
        <w:t xml:space="preserve"> is deemed to have </w:t>
      </w:r>
      <w:r w:rsidRPr="00564CC5">
        <w:rPr>
          <w:b/>
          <w:bCs/>
          <w:sz w:val="24"/>
        </w:rPr>
        <w:t>significant shortfalls</w:t>
      </w:r>
      <w:r>
        <w:rPr>
          <w:sz w:val="24"/>
        </w:rPr>
        <w:t xml:space="preserve"> (identified in </w:t>
      </w:r>
      <w:r w:rsidR="00B2520A">
        <w:rPr>
          <w:sz w:val="24"/>
        </w:rPr>
        <w:t>Centre feedback</w:t>
      </w:r>
      <w:r w:rsidRPr="00FC7F1C">
        <w:rPr>
          <w:sz w:val="24"/>
        </w:rPr>
        <w:t>) in how it matches to the A</w:t>
      </w:r>
      <w:r w:rsidR="001518D4">
        <w:rPr>
          <w:sz w:val="24"/>
        </w:rPr>
        <w:t xml:space="preserve">dvancing </w:t>
      </w:r>
      <w:r w:rsidRPr="00FC7F1C">
        <w:rPr>
          <w:sz w:val="24"/>
        </w:rPr>
        <w:t>P</w:t>
      </w:r>
      <w:r w:rsidR="001518D4">
        <w:rPr>
          <w:sz w:val="24"/>
        </w:rPr>
        <w:t xml:space="preserve">ractice </w:t>
      </w:r>
      <w:r w:rsidRPr="00FC7F1C">
        <w:rPr>
          <w:sz w:val="24"/>
        </w:rPr>
        <w:t xml:space="preserve">capabilities and/or the </w:t>
      </w:r>
      <w:r w:rsidR="006636A6">
        <w:rPr>
          <w:sz w:val="24"/>
        </w:rPr>
        <w:t>SET</w:t>
      </w:r>
      <w:r w:rsidRPr="00FC7F1C">
        <w:rPr>
          <w:sz w:val="24"/>
        </w:rPr>
        <w:t xml:space="preserve"> and requires</w:t>
      </w:r>
      <w:r w:rsidRPr="00FC7F1C">
        <w:rPr>
          <w:spacing w:val="1"/>
          <w:sz w:val="24"/>
        </w:rPr>
        <w:t xml:space="preserve"> </w:t>
      </w:r>
      <w:r w:rsidRPr="00FC7F1C">
        <w:rPr>
          <w:sz w:val="24"/>
        </w:rPr>
        <w:t>re-submission</w:t>
      </w:r>
      <w:r w:rsidR="009D2123">
        <w:rPr>
          <w:sz w:val="24"/>
        </w:rPr>
        <w:t xml:space="preserve"> once shortfalls have been addressed.</w:t>
      </w:r>
    </w:p>
    <w:p w14:paraId="7B2D5DFB" w14:textId="77777777" w:rsidR="0012290E" w:rsidRDefault="0012290E">
      <w:pPr>
        <w:pStyle w:val="BodyText"/>
        <w:rPr>
          <w:sz w:val="27"/>
        </w:rPr>
      </w:pPr>
    </w:p>
    <w:p w14:paraId="167B57DA" w14:textId="330F960D" w:rsidR="0012290E" w:rsidRDefault="00104B8A" w:rsidP="00FF3B77">
      <w:pPr>
        <w:pStyle w:val="BodyText"/>
        <w:spacing w:before="1"/>
      </w:pPr>
      <w:r>
        <w:t>Pr</w:t>
      </w:r>
      <w:r w:rsidR="003B6355">
        <w:t>ogrammes</w:t>
      </w:r>
      <w:r w:rsidR="001D6C1D">
        <w:t>,</w:t>
      </w:r>
      <w:r w:rsidR="00286DD6">
        <w:t xml:space="preserve"> </w:t>
      </w:r>
      <w:r w:rsidR="003B6355">
        <w:t>that receive accreditation</w:t>
      </w:r>
      <w:r w:rsidR="001D6C1D">
        <w:t>,</w:t>
      </w:r>
      <w:r w:rsidR="003B6355">
        <w:t xml:space="preserve"> </w:t>
      </w:r>
      <w:r w:rsidR="00FF3B77">
        <w:t xml:space="preserve">will be recorded by </w:t>
      </w:r>
      <w:r w:rsidR="00B2520A">
        <w:t xml:space="preserve">and will be </w:t>
      </w:r>
      <w:r w:rsidR="001D6C1D">
        <w:t>listed</w:t>
      </w:r>
      <w:r w:rsidR="00B2520A">
        <w:t xml:space="preserve"> on the HEE web</w:t>
      </w:r>
      <w:r w:rsidR="009D2711">
        <w:t>pages</w:t>
      </w:r>
      <w:r w:rsidR="00B2520A">
        <w:t>.</w:t>
      </w:r>
    </w:p>
    <w:p w14:paraId="36D20D16" w14:textId="334CD53E" w:rsidR="007B461E" w:rsidRDefault="007B461E">
      <w:pPr>
        <w:pStyle w:val="BodyText"/>
        <w:spacing w:before="1"/>
        <w:ind w:left="112"/>
      </w:pPr>
    </w:p>
    <w:p w14:paraId="249E3617" w14:textId="77777777" w:rsidR="0012290E" w:rsidRDefault="003B6355" w:rsidP="007B461E">
      <w:pPr>
        <w:pStyle w:val="BodyText"/>
        <w:spacing w:before="93" w:line="261" w:lineRule="auto"/>
      </w:pPr>
      <w:r>
        <w:t>In addition to the programme title(s), pathways, and awarding body, the list provides information on the following:</w:t>
      </w:r>
    </w:p>
    <w:p w14:paraId="648DD523" w14:textId="77777777" w:rsidR="0012290E" w:rsidRDefault="0012290E">
      <w:pPr>
        <w:pStyle w:val="BodyText"/>
        <w:spacing w:before="6"/>
        <w:rPr>
          <w:sz w:val="25"/>
        </w:rPr>
      </w:pPr>
    </w:p>
    <w:p w14:paraId="3036962E" w14:textId="0A1B88A8" w:rsidR="0012290E" w:rsidRDefault="003B6355">
      <w:pPr>
        <w:pStyle w:val="ListParagraph"/>
        <w:numPr>
          <w:ilvl w:val="0"/>
          <w:numId w:val="2"/>
        </w:numPr>
        <w:tabs>
          <w:tab w:val="left" w:pos="473"/>
          <w:tab w:val="left" w:pos="474"/>
        </w:tabs>
        <w:spacing w:before="0"/>
        <w:rPr>
          <w:sz w:val="24"/>
        </w:rPr>
      </w:pPr>
      <w:r>
        <w:rPr>
          <w:sz w:val="24"/>
        </w:rPr>
        <w:t xml:space="preserve">The date on which accreditation is conferred by </w:t>
      </w:r>
    </w:p>
    <w:p w14:paraId="392C1CDB" w14:textId="77777777" w:rsidR="0012290E" w:rsidRDefault="003B6355">
      <w:pPr>
        <w:pStyle w:val="ListParagraph"/>
        <w:numPr>
          <w:ilvl w:val="0"/>
          <w:numId w:val="2"/>
        </w:numPr>
        <w:tabs>
          <w:tab w:val="left" w:pos="473"/>
          <w:tab w:val="left" w:pos="474"/>
        </w:tabs>
        <w:spacing w:before="21"/>
        <w:rPr>
          <w:sz w:val="24"/>
        </w:rPr>
      </w:pPr>
      <w:r>
        <w:rPr>
          <w:sz w:val="24"/>
        </w:rPr>
        <w:t>The point from which the accreditation has</w:t>
      </w:r>
      <w:r>
        <w:rPr>
          <w:spacing w:val="-5"/>
          <w:sz w:val="24"/>
        </w:rPr>
        <w:t xml:space="preserve"> </w:t>
      </w:r>
      <w:r>
        <w:rPr>
          <w:sz w:val="24"/>
        </w:rPr>
        <w:t>currency</w:t>
      </w:r>
    </w:p>
    <w:p w14:paraId="6C5BD599" w14:textId="77777777" w:rsidR="0012290E" w:rsidRDefault="003B6355">
      <w:pPr>
        <w:pStyle w:val="ListParagraph"/>
        <w:numPr>
          <w:ilvl w:val="0"/>
          <w:numId w:val="2"/>
        </w:numPr>
        <w:tabs>
          <w:tab w:val="left" w:pos="473"/>
          <w:tab w:val="left" w:pos="474"/>
        </w:tabs>
        <w:spacing w:before="18"/>
        <w:rPr>
          <w:sz w:val="24"/>
        </w:rPr>
      </w:pPr>
      <w:r>
        <w:rPr>
          <w:sz w:val="24"/>
        </w:rPr>
        <w:t>The date by which the programme will need to be considered for</w:t>
      </w:r>
      <w:r>
        <w:rPr>
          <w:spacing w:val="-18"/>
          <w:sz w:val="24"/>
        </w:rPr>
        <w:t xml:space="preserve"> </w:t>
      </w:r>
      <w:r>
        <w:rPr>
          <w:sz w:val="24"/>
        </w:rPr>
        <w:t>re-accreditation.</w:t>
      </w:r>
    </w:p>
    <w:p w14:paraId="1A1E38D5" w14:textId="77777777" w:rsidR="0012290E" w:rsidRDefault="0012290E">
      <w:pPr>
        <w:pStyle w:val="BodyText"/>
        <w:spacing w:before="5"/>
        <w:rPr>
          <w:sz w:val="28"/>
        </w:rPr>
      </w:pPr>
    </w:p>
    <w:p w14:paraId="14770CBD" w14:textId="425611DA" w:rsidR="0012290E" w:rsidRPr="002B7E3C" w:rsidRDefault="003B6355">
      <w:pPr>
        <w:pStyle w:val="Heading2"/>
        <w:spacing w:before="1"/>
        <w:rPr>
          <w:b/>
          <w:bCs/>
          <w:sz w:val="24"/>
          <w:szCs w:val="24"/>
        </w:rPr>
      </w:pPr>
      <w:bookmarkStart w:id="18" w:name="_Toc34395807"/>
      <w:r w:rsidRPr="002B7E3C">
        <w:rPr>
          <w:b/>
          <w:bCs/>
          <w:sz w:val="24"/>
          <w:szCs w:val="24"/>
        </w:rPr>
        <w:t>Maintaining accreditation</w:t>
      </w:r>
      <w:bookmarkEnd w:id="18"/>
    </w:p>
    <w:p w14:paraId="7831D5E5" w14:textId="659B2FCD" w:rsidR="0012290E" w:rsidRDefault="003B6355" w:rsidP="0050738A">
      <w:pPr>
        <w:pStyle w:val="BodyText"/>
        <w:spacing w:before="162" w:line="268" w:lineRule="auto"/>
        <w:ind w:left="112" w:right="460"/>
      </w:pPr>
      <w:r>
        <w:t xml:space="preserve">Once accreditation has been secured for a programme, the provider will need to submit an annual report to </w:t>
      </w:r>
      <w:r w:rsidR="00AB6BA8">
        <w:t>HEE</w:t>
      </w:r>
      <w:r>
        <w:t xml:space="preserve"> to retain accreditatio</w:t>
      </w:r>
      <w:r w:rsidR="001317A8">
        <w:t>n; details of this will be provided</w:t>
      </w:r>
      <w:r w:rsidR="001F4AD6">
        <w:t>, but will normally include reference to any programme changes and information regarding learner numbers, attrition etc.</w:t>
      </w:r>
      <w:r>
        <w:t xml:space="preserve"> While</w:t>
      </w:r>
      <w:r>
        <w:rPr>
          <w:spacing w:val="-23"/>
        </w:rPr>
        <w:t xml:space="preserve"> </w:t>
      </w:r>
      <w:r>
        <w:t>reflecting</w:t>
      </w:r>
      <w:r w:rsidR="0050738A">
        <w:t xml:space="preserve"> </w:t>
      </w:r>
      <w:r>
        <w:t xml:space="preserve">HEIs’ standard processes for annual monitoring, </w:t>
      </w:r>
      <w:r w:rsidR="00AB6BA8">
        <w:t xml:space="preserve">HEE </w:t>
      </w:r>
      <w:r>
        <w:t>provides a template for this purpose.</w:t>
      </w:r>
    </w:p>
    <w:p w14:paraId="2AE7A116" w14:textId="77777777" w:rsidR="0012290E" w:rsidRDefault="0012290E">
      <w:pPr>
        <w:pStyle w:val="BodyText"/>
        <w:spacing w:before="9"/>
        <w:rPr>
          <w:sz w:val="26"/>
        </w:rPr>
      </w:pPr>
    </w:p>
    <w:p w14:paraId="131B9C3E" w14:textId="5D45E729" w:rsidR="0012290E" w:rsidRDefault="00AB6BA8">
      <w:pPr>
        <w:pStyle w:val="BodyText"/>
        <w:spacing w:line="268" w:lineRule="auto"/>
        <w:ind w:left="112" w:right="182"/>
      </w:pPr>
      <w:r>
        <w:t>HEE</w:t>
      </w:r>
      <w:r w:rsidR="003B6355">
        <w:t xml:space="preserve"> considers programmes for re-accreditation on a periodic basis. This is enacted to reflect education providers’ own re-validation cycle, but with a requirement that programmes are considered for re-accreditation within a maximum period of five years.</w:t>
      </w:r>
    </w:p>
    <w:p w14:paraId="2545A26F" w14:textId="77777777" w:rsidR="0012290E" w:rsidRDefault="0012290E">
      <w:pPr>
        <w:pStyle w:val="BodyText"/>
        <w:spacing w:before="1"/>
        <w:rPr>
          <w:sz w:val="27"/>
        </w:rPr>
      </w:pPr>
    </w:p>
    <w:p w14:paraId="7B7540BB" w14:textId="6E5C323F" w:rsidR="0012290E" w:rsidRDefault="003B6355">
      <w:pPr>
        <w:pStyle w:val="BodyText"/>
        <w:ind w:left="112"/>
      </w:pPr>
      <w:r>
        <w:t>Education providers are required to submit a</w:t>
      </w:r>
      <w:r w:rsidR="001F4AD6">
        <w:t>n updated</w:t>
      </w:r>
      <w:r>
        <w:t xml:space="preserve"> SAD to seek re-accreditation.</w:t>
      </w:r>
    </w:p>
    <w:p w14:paraId="5C413FEA" w14:textId="77777777" w:rsidR="0012290E" w:rsidRDefault="0012290E">
      <w:pPr>
        <w:pStyle w:val="BodyText"/>
        <w:spacing w:before="10"/>
        <w:rPr>
          <w:sz w:val="29"/>
        </w:rPr>
      </w:pPr>
    </w:p>
    <w:p w14:paraId="4E3DE91F" w14:textId="6FC2685D" w:rsidR="0012290E" w:rsidRDefault="00AB6BA8">
      <w:pPr>
        <w:pStyle w:val="BodyText"/>
        <w:spacing w:line="268" w:lineRule="auto"/>
        <w:ind w:left="112" w:right="88"/>
      </w:pPr>
      <w:r>
        <w:t>HEE</w:t>
      </w:r>
      <w:r w:rsidR="003B6355">
        <w:t xml:space="preserve"> provides full information and guidance on adhering to the </w:t>
      </w:r>
      <w:r>
        <w:t xml:space="preserve">its </w:t>
      </w:r>
      <w:r w:rsidR="003B6355">
        <w:t>annual review arrangements and seeking re-accreditation</w:t>
      </w:r>
      <w:r w:rsidR="001018C0">
        <w:t>, these</w:t>
      </w:r>
      <w:r w:rsidR="003B6355">
        <w:t xml:space="preserve"> </w:t>
      </w:r>
      <w:r w:rsidR="001F4AD6">
        <w:t>will be</w:t>
      </w:r>
      <w:r w:rsidR="003B6355">
        <w:t xml:space="preserve"> provided in a separate document.</w:t>
      </w:r>
    </w:p>
    <w:p w14:paraId="0CA38F05" w14:textId="79B25A86" w:rsidR="001018C0" w:rsidRDefault="001018C0">
      <w:pPr>
        <w:pStyle w:val="BodyText"/>
        <w:spacing w:line="268" w:lineRule="auto"/>
        <w:ind w:left="112" w:right="88"/>
      </w:pPr>
    </w:p>
    <w:p w14:paraId="4A47D139" w14:textId="102AAA47" w:rsidR="001018C0" w:rsidRDefault="00AB6BA8">
      <w:pPr>
        <w:pStyle w:val="BodyText"/>
        <w:spacing w:line="268" w:lineRule="auto"/>
        <w:ind w:left="112" w:right="88"/>
      </w:pPr>
      <w:r>
        <w:t>HEE</w:t>
      </w:r>
      <w:r w:rsidR="001018C0">
        <w:t xml:space="preserve"> will publish </w:t>
      </w:r>
      <w:r w:rsidR="007A2E66">
        <w:t>appeals and complaints procedures on the A</w:t>
      </w:r>
      <w:r w:rsidR="001518D4">
        <w:t xml:space="preserve">dvancing </w:t>
      </w:r>
      <w:r w:rsidR="007A2E66">
        <w:t>P</w:t>
      </w:r>
      <w:r w:rsidR="001518D4">
        <w:t>ractice</w:t>
      </w:r>
      <w:r w:rsidR="007A2E66">
        <w:t xml:space="preserve"> </w:t>
      </w:r>
      <w:r w:rsidR="00B87946">
        <w:t>website,</w:t>
      </w:r>
      <w:r w:rsidR="007A2E66">
        <w:t xml:space="preserve"> and these will be made available to all programmes submitting </w:t>
      </w:r>
      <w:r w:rsidR="00255B58">
        <w:t xml:space="preserve">an application for </w:t>
      </w:r>
      <w:r w:rsidR="006D776F">
        <w:t>accreditation or on request</w:t>
      </w:r>
      <w:r w:rsidR="00255B58">
        <w:t>.</w:t>
      </w:r>
    </w:p>
    <w:p w14:paraId="3825206E" w14:textId="0996D461" w:rsidR="0012290E" w:rsidRDefault="0012290E">
      <w:pPr>
        <w:pStyle w:val="BodyText"/>
        <w:rPr>
          <w:sz w:val="26"/>
        </w:rPr>
      </w:pPr>
    </w:p>
    <w:p w14:paraId="7A5E3639" w14:textId="77777777" w:rsidR="001018C0" w:rsidRDefault="001018C0">
      <w:pPr>
        <w:pStyle w:val="BodyText"/>
        <w:rPr>
          <w:sz w:val="26"/>
        </w:rPr>
      </w:pPr>
    </w:p>
    <w:p w14:paraId="659D021E" w14:textId="53671655" w:rsidR="00AF7259" w:rsidRDefault="00AF7259" w:rsidP="0007452B">
      <w:pPr>
        <w:pStyle w:val="BodyText"/>
      </w:pPr>
    </w:p>
    <w:p w14:paraId="2C6E8C12" w14:textId="77777777" w:rsidR="00D2494D" w:rsidRPr="00D2494D" w:rsidRDefault="00D2494D" w:rsidP="00D2494D"/>
    <w:sectPr w:rsidR="00D2494D" w:rsidRPr="00D2494D" w:rsidSect="004B0A6D">
      <w:footnotePr>
        <w:numStart w:val="8"/>
      </w:footnotePr>
      <w:type w:val="continuous"/>
      <w:pgSz w:w="11900" w:h="16850"/>
      <w:pgMar w:top="1660" w:right="1040" w:bottom="1200" w:left="1020" w:header="720"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9BEB6" w14:textId="77777777" w:rsidR="00FF144C" w:rsidRDefault="00FF144C">
      <w:r>
        <w:separator/>
      </w:r>
    </w:p>
  </w:endnote>
  <w:endnote w:type="continuationSeparator" w:id="0">
    <w:p w14:paraId="4240B344" w14:textId="77777777" w:rsidR="00FF144C" w:rsidRDefault="00FF144C">
      <w:r>
        <w:continuationSeparator/>
      </w:r>
    </w:p>
  </w:endnote>
  <w:endnote w:type="continuationNotice" w:id="1">
    <w:p w14:paraId="346B6D9C" w14:textId="77777777" w:rsidR="00FF144C" w:rsidRDefault="00FF144C"/>
  </w:endnote>
  <w:endnote w:id="2">
    <w:p w14:paraId="42857FE3" w14:textId="6C62D09F" w:rsidR="00961868" w:rsidRDefault="00961868">
      <w:pPr>
        <w:pStyle w:val="EndnoteText"/>
      </w:pPr>
      <w:r>
        <w:rPr>
          <w:rStyle w:val="EndnoteReference"/>
        </w:rPr>
        <w:endnoteRef/>
      </w:r>
      <w:r>
        <w:t xml:space="preserve"> </w:t>
      </w:r>
      <w:r>
        <w:rPr>
          <w:rFonts w:ascii="Calibri" w:hAnsi="Calibri"/>
        </w:rPr>
        <w:t>Learning in the workplace’ refers to learning related to ALL of the 4 pillars and associated capabilities, undertaken in practitioners’ normal practice/work setting, as well as any activity undertaken on placements that are arranged in different practice/work environments as part of the education programme.</w:t>
      </w:r>
    </w:p>
  </w:endnote>
  <w:endnote w:id="3">
    <w:p w14:paraId="153D0233" w14:textId="5DDD6713" w:rsidR="00961868" w:rsidRDefault="00961868">
      <w:pPr>
        <w:pStyle w:val="EndnoteText"/>
        <w:rPr>
          <w:rFonts w:ascii="Calibri" w:hAnsi="Calibri"/>
        </w:rPr>
      </w:pPr>
      <w:r>
        <w:rPr>
          <w:rStyle w:val="EndnoteReference"/>
        </w:rPr>
        <w:endnoteRef/>
      </w:r>
      <w:r>
        <w:t xml:space="preserve">  </w:t>
      </w:r>
      <w:r>
        <w:rPr>
          <w:rFonts w:ascii="Calibri" w:hAnsi="Calibri"/>
        </w:rPr>
        <w:t>The term ‘patient’ is used throughout the SET to refer to any individual receiving assessment, consultation, treatment, management or advice from a health or care practitioner. It is acknowledged that other terms are commonly used and may be preferred, such as ‘client’, ‘service user’, etc., and that terminology is often context: or location specific. If different terms are used in a programme, this should be made clear at the start of the SAD.</w:t>
      </w:r>
    </w:p>
    <w:p w14:paraId="2937FD03" w14:textId="63F2334E" w:rsidR="00961868" w:rsidRDefault="00961868">
      <w:pPr>
        <w:pStyle w:val="EndnoteText"/>
        <w:rPr>
          <w:rFonts w:ascii="Calibri" w:hAnsi="Calibri"/>
        </w:rPr>
      </w:pPr>
    </w:p>
    <w:p w14:paraId="60D1E114" w14:textId="1EC6EADC" w:rsidR="00961868" w:rsidRDefault="00961868" w:rsidP="003C6896">
      <w:pPr>
        <w:widowControl/>
        <w:autoSpaceDE/>
        <w:autoSpaceDN/>
        <w:spacing w:after="240"/>
        <w:rPr>
          <w:rFonts w:eastAsia="Times New Roman"/>
          <w:b/>
          <w:bCs/>
          <w:color w:val="2E74B5"/>
          <w:sz w:val="24"/>
          <w:szCs w:val="24"/>
          <w:lang w:val="en-US" w:bidi="ar-SA"/>
        </w:rPr>
      </w:pPr>
    </w:p>
    <w:p w14:paraId="502CCDD7" w14:textId="61E19BBA" w:rsidR="00961868" w:rsidRDefault="00961868" w:rsidP="003C6896">
      <w:pPr>
        <w:widowControl/>
        <w:autoSpaceDE/>
        <w:autoSpaceDN/>
        <w:spacing w:after="240"/>
        <w:rPr>
          <w:rFonts w:eastAsia="Times New Roman"/>
          <w:b/>
          <w:bCs/>
          <w:color w:val="2E74B5"/>
          <w:sz w:val="24"/>
          <w:szCs w:val="24"/>
          <w:lang w:val="en-US" w:bidi="ar-SA"/>
        </w:rPr>
      </w:pPr>
    </w:p>
    <w:p w14:paraId="27201A9E" w14:textId="15A9F665" w:rsidR="00961868" w:rsidRDefault="00961868" w:rsidP="003C6896">
      <w:pPr>
        <w:widowControl/>
        <w:autoSpaceDE/>
        <w:autoSpaceDN/>
        <w:spacing w:after="240"/>
        <w:rPr>
          <w:rFonts w:eastAsia="Times New Roman"/>
          <w:b/>
          <w:bCs/>
          <w:color w:val="2E74B5"/>
          <w:sz w:val="24"/>
          <w:szCs w:val="24"/>
          <w:lang w:val="en-US" w:bidi="ar-SA"/>
        </w:rPr>
      </w:pPr>
    </w:p>
    <w:p w14:paraId="345E2FBF" w14:textId="1C5A8EED" w:rsidR="00961868" w:rsidRDefault="00961868" w:rsidP="003C6896">
      <w:pPr>
        <w:widowControl/>
        <w:autoSpaceDE/>
        <w:autoSpaceDN/>
        <w:spacing w:after="240"/>
        <w:rPr>
          <w:rFonts w:eastAsia="Times New Roman"/>
          <w:b/>
          <w:bCs/>
          <w:color w:val="2E74B5"/>
          <w:sz w:val="24"/>
          <w:szCs w:val="24"/>
          <w:lang w:val="en-US" w:bidi="ar-SA"/>
        </w:rPr>
      </w:pPr>
    </w:p>
    <w:p w14:paraId="5929DA16" w14:textId="35A05C7A" w:rsidR="00961868" w:rsidRDefault="00961868" w:rsidP="003C6896">
      <w:pPr>
        <w:widowControl/>
        <w:autoSpaceDE/>
        <w:autoSpaceDN/>
        <w:spacing w:after="240"/>
        <w:rPr>
          <w:rFonts w:eastAsia="Times New Roman"/>
          <w:b/>
          <w:bCs/>
          <w:color w:val="2E74B5"/>
          <w:sz w:val="24"/>
          <w:szCs w:val="24"/>
          <w:lang w:val="en-US" w:bidi="ar-SA"/>
        </w:rPr>
      </w:pPr>
    </w:p>
    <w:p w14:paraId="64089008" w14:textId="378A6956" w:rsidR="00961868" w:rsidRDefault="00961868" w:rsidP="003C6896">
      <w:pPr>
        <w:widowControl/>
        <w:autoSpaceDE/>
        <w:autoSpaceDN/>
        <w:spacing w:after="240"/>
        <w:rPr>
          <w:rFonts w:eastAsia="Times New Roman"/>
          <w:b/>
          <w:bCs/>
          <w:color w:val="2E74B5"/>
          <w:sz w:val="24"/>
          <w:szCs w:val="24"/>
          <w:lang w:val="en-US" w:bidi="ar-SA"/>
        </w:rPr>
      </w:pPr>
    </w:p>
    <w:p w14:paraId="53F7C755" w14:textId="63A6DF78" w:rsidR="00961868" w:rsidRDefault="00961868" w:rsidP="003C6896">
      <w:pPr>
        <w:widowControl/>
        <w:autoSpaceDE/>
        <w:autoSpaceDN/>
        <w:spacing w:after="240"/>
        <w:rPr>
          <w:rFonts w:eastAsia="Times New Roman"/>
          <w:b/>
          <w:bCs/>
          <w:color w:val="2E74B5"/>
          <w:sz w:val="24"/>
          <w:szCs w:val="24"/>
          <w:lang w:val="en-US" w:bidi="ar-SA"/>
        </w:rPr>
      </w:pPr>
    </w:p>
    <w:p w14:paraId="13D7E566" w14:textId="5C88359F" w:rsidR="00961868" w:rsidRDefault="00961868" w:rsidP="003C6896">
      <w:pPr>
        <w:widowControl/>
        <w:autoSpaceDE/>
        <w:autoSpaceDN/>
        <w:spacing w:after="240"/>
        <w:rPr>
          <w:rFonts w:eastAsia="Times New Roman"/>
          <w:b/>
          <w:bCs/>
          <w:color w:val="2E74B5"/>
          <w:sz w:val="24"/>
          <w:szCs w:val="24"/>
          <w:lang w:val="en-US" w:bidi="ar-SA"/>
        </w:rPr>
      </w:pPr>
    </w:p>
    <w:p w14:paraId="707DFE1C" w14:textId="2C8A60D9" w:rsidR="00961868" w:rsidRDefault="00961868" w:rsidP="003C6896">
      <w:pPr>
        <w:widowControl/>
        <w:autoSpaceDE/>
        <w:autoSpaceDN/>
        <w:spacing w:after="240"/>
        <w:rPr>
          <w:rFonts w:eastAsia="Times New Roman"/>
          <w:b/>
          <w:bCs/>
          <w:color w:val="2E74B5"/>
          <w:sz w:val="24"/>
          <w:szCs w:val="24"/>
          <w:lang w:val="en-US" w:bidi="ar-SA"/>
        </w:rPr>
      </w:pPr>
    </w:p>
    <w:p w14:paraId="53B2353B" w14:textId="76B0EE73" w:rsidR="00961868" w:rsidRDefault="00961868" w:rsidP="003C6896">
      <w:pPr>
        <w:widowControl/>
        <w:autoSpaceDE/>
        <w:autoSpaceDN/>
        <w:spacing w:after="240"/>
        <w:rPr>
          <w:rFonts w:eastAsia="Times New Roman"/>
          <w:b/>
          <w:bCs/>
          <w:color w:val="2E74B5"/>
          <w:sz w:val="24"/>
          <w:szCs w:val="24"/>
          <w:lang w:val="en-US" w:bidi="ar-SA"/>
        </w:rPr>
      </w:pPr>
    </w:p>
    <w:p w14:paraId="7CB89FB2" w14:textId="51D35B7C" w:rsidR="00961868" w:rsidRDefault="00961868" w:rsidP="003C6896">
      <w:pPr>
        <w:widowControl/>
        <w:autoSpaceDE/>
        <w:autoSpaceDN/>
        <w:spacing w:after="240"/>
        <w:rPr>
          <w:rFonts w:eastAsia="Times New Roman"/>
          <w:b/>
          <w:bCs/>
          <w:color w:val="2E74B5"/>
          <w:sz w:val="24"/>
          <w:szCs w:val="24"/>
          <w:lang w:val="en-US" w:bidi="ar-SA"/>
        </w:rPr>
      </w:pPr>
    </w:p>
    <w:p w14:paraId="34698C93" w14:textId="5042A5CA" w:rsidR="00961868" w:rsidRDefault="00961868" w:rsidP="003C6896">
      <w:pPr>
        <w:widowControl/>
        <w:autoSpaceDE/>
        <w:autoSpaceDN/>
        <w:spacing w:after="240"/>
        <w:rPr>
          <w:rFonts w:eastAsia="Times New Roman"/>
          <w:b/>
          <w:bCs/>
          <w:color w:val="2E74B5"/>
          <w:sz w:val="24"/>
          <w:szCs w:val="24"/>
          <w:lang w:val="en-US" w:bidi="ar-SA"/>
        </w:rPr>
      </w:pPr>
    </w:p>
    <w:p w14:paraId="27DF0DAD" w14:textId="331C70C7" w:rsidR="00961868" w:rsidRDefault="00961868" w:rsidP="003C6896">
      <w:pPr>
        <w:widowControl/>
        <w:autoSpaceDE/>
        <w:autoSpaceDN/>
        <w:spacing w:after="240"/>
        <w:rPr>
          <w:rFonts w:eastAsia="Times New Roman"/>
          <w:b/>
          <w:bCs/>
          <w:color w:val="2E74B5"/>
          <w:sz w:val="24"/>
          <w:szCs w:val="24"/>
          <w:lang w:val="en-US" w:bidi="ar-SA"/>
        </w:rPr>
      </w:pPr>
    </w:p>
    <w:p w14:paraId="651F4E58" w14:textId="7D0D6DD1" w:rsidR="00961868" w:rsidRDefault="00961868" w:rsidP="003C6896">
      <w:pPr>
        <w:widowControl/>
        <w:autoSpaceDE/>
        <w:autoSpaceDN/>
        <w:spacing w:after="240"/>
        <w:rPr>
          <w:rFonts w:eastAsia="Times New Roman"/>
          <w:b/>
          <w:bCs/>
          <w:color w:val="2E74B5"/>
          <w:sz w:val="24"/>
          <w:szCs w:val="24"/>
          <w:lang w:val="en-US" w:bidi="ar-SA"/>
        </w:rPr>
      </w:pPr>
    </w:p>
    <w:p w14:paraId="073AE1B1" w14:textId="78F0F307" w:rsidR="00961868" w:rsidRDefault="00961868" w:rsidP="003C6896">
      <w:pPr>
        <w:widowControl/>
        <w:autoSpaceDE/>
        <w:autoSpaceDN/>
        <w:spacing w:after="240"/>
        <w:rPr>
          <w:rFonts w:eastAsia="Times New Roman"/>
          <w:b/>
          <w:bCs/>
          <w:color w:val="2E74B5"/>
          <w:sz w:val="24"/>
          <w:szCs w:val="24"/>
          <w:lang w:val="en-US" w:bidi="ar-SA"/>
        </w:rPr>
      </w:pPr>
    </w:p>
    <w:p w14:paraId="4EA8486E" w14:textId="28EF8B97" w:rsidR="00961868" w:rsidRDefault="00961868" w:rsidP="003C6896">
      <w:pPr>
        <w:widowControl/>
        <w:autoSpaceDE/>
        <w:autoSpaceDN/>
        <w:spacing w:after="240"/>
        <w:rPr>
          <w:rFonts w:eastAsia="Times New Roman"/>
          <w:b/>
          <w:bCs/>
          <w:color w:val="2E74B5"/>
          <w:sz w:val="24"/>
          <w:szCs w:val="24"/>
          <w:lang w:val="en-US" w:bidi="ar-SA"/>
        </w:rPr>
      </w:pPr>
    </w:p>
    <w:p w14:paraId="08CADB5A" w14:textId="694DC7B6" w:rsidR="00961868" w:rsidRDefault="00961868" w:rsidP="003C6896">
      <w:pPr>
        <w:widowControl/>
        <w:autoSpaceDE/>
        <w:autoSpaceDN/>
        <w:spacing w:after="240"/>
        <w:rPr>
          <w:rFonts w:eastAsia="Times New Roman"/>
          <w:b/>
          <w:bCs/>
          <w:color w:val="2E74B5"/>
          <w:sz w:val="24"/>
          <w:szCs w:val="24"/>
          <w:lang w:val="en-US" w:bidi="ar-SA"/>
        </w:rPr>
      </w:pPr>
    </w:p>
    <w:p w14:paraId="67F37DE9" w14:textId="77777777" w:rsidR="00961868" w:rsidRDefault="00961868" w:rsidP="003C6896">
      <w:pPr>
        <w:widowControl/>
        <w:autoSpaceDE/>
        <w:autoSpaceDN/>
        <w:spacing w:after="240"/>
        <w:rPr>
          <w:rFonts w:eastAsia="Times New Roman"/>
          <w:b/>
          <w:bCs/>
          <w:color w:val="2E74B5"/>
          <w:sz w:val="24"/>
          <w:szCs w:val="24"/>
          <w:lang w:val="en-US" w:bidi="ar-SA"/>
        </w:rPr>
      </w:pPr>
    </w:p>
    <w:p w14:paraId="38BFD04E" w14:textId="741B9DDC" w:rsidR="00961868" w:rsidRPr="003C6896" w:rsidRDefault="00961868" w:rsidP="003C6896">
      <w:pPr>
        <w:widowControl/>
        <w:autoSpaceDE/>
        <w:autoSpaceDN/>
        <w:spacing w:after="240"/>
        <w:rPr>
          <w:rFonts w:ascii="Times New Roman" w:eastAsia="Times New Roman" w:hAnsi="Times New Roman" w:cs="Times New Roman"/>
          <w:sz w:val="24"/>
          <w:szCs w:val="24"/>
          <w:lang w:bidi="ar-SA"/>
        </w:rPr>
      </w:pPr>
      <w:r w:rsidRPr="005D6695">
        <w:rPr>
          <w:rFonts w:eastAsia="Times New Roman"/>
          <w:b/>
          <w:bCs/>
          <w:color w:val="003893"/>
          <w:sz w:val="28"/>
          <w:szCs w:val="28"/>
          <w:lang w:val="en-US" w:bidi="ar-SA"/>
        </w:rPr>
        <w:t>Glossary of terms</w:t>
      </w:r>
      <w:r w:rsidRPr="003C6896">
        <w:rPr>
          <w:rFonts w:eastAsia="Times New Roman"/>
          <w:b/>
          <w:bCs/>
          <w:color w:val="2E74B5"/>
          <w:sz w:val="24"/>
          <w:szCs w:val="24"/>
          <w:lang w:val="en-US" w:bidi="ar-SA"/>
        </w:rPr>
        <w:t xml:space="preserve"> </w:t>
      </w:r>
    </w:p>
    <w:p w14:paraId="73E033CA" w14:textId="4145ADCB"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Accreditation </w:t>
      </w:r>
      <w:r w:rsidRPr="003C6896">
        <w:rPr>
          <w:rFonts w:eastAsia="Times New Roman"/>
          <w:lang w:bidi="ar-SA"/>
        </w:rPr>
        <w:t xml:space="preserve">– the term used to confer recognition on education routes that meet </w:t>
      </w:r>
      <w:r>
        <w:rPr>
          <w:rFonts w:eastAsia="Times New Roman"/>
          <w:lang w:bidi="ar-SA"/>
        </w:rPr>
        <w:t xml:space="preserve">HEE’s </w:t>
      </w:r>
      <w:r w:rsidRPr="003C6896">
        <w:rPr>
          <w:rFonts w:eastAsia="Times New Roman"/>
          <w:lang w:bidi="ar-SA"/>
        </w:rPr>
        <w:t>standards of education and training (</w:t>
      </w:r>
      <w:r>
        <w:rPr>
          <w:rFonts w:eastAsia="Times New Roman"/>
          <w:lang w:bidi="ar-SA"/>
        </w:rPr>
        <w:t>SET</w:t>
      </w:r>
      <w:r w:rsidRPr="003C6896">
        <w:rPr>
          <w:rFonts w:eastAsia="Times New Roman"/>
          <w:lang w:bidi="ar-SA"/>
        </w:rPr>
        <w:t>)</w:t>
      </w:r>
    </w:p>
    <w:p w14:paraId="7B2FD32D" w14:textId="1B1D2017"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 xml:space="preserve">Advanced practice </w:t>
      </w:r>
      <w:r>
        <w:rPr>
          <w:rFonts w:eastAsia="Times New Roman"/>
          <w:b/>
          <w:bCs/>
          <w:lang w:bidi="ar-SA"/>
        </w:rPr>
        <w:t>- l</w:t>
      </w:r>
      <w:r w:rsidRPr="003C6896">
        <w:rPr>
          <w:rFonts w:eastAsia="Times New Roman"/>
          <w:b/>
          <w:bCs/>
          <w:lang w:bidi="ar-SA"/>
        </w:rPr>
        <w:t>evel practice</w:t>
      </w:r>
      <w:r w:rsidRPr="003C6896">
        <w:rPr>
          <w:rFonts w:eastAsia="Times New Roman"/>
          <w:lang w:bidi="ar-SA"/>
        </w:rPr>
        <w:t xml:space="preserve"> – the level of practice at which </w:t>
      </w:r>
      <w:r>
        <w:rPr>
          <w:rFonts w:eastAsia="Times New Roman"/>
          <w:lang w:bidi="ar-SA"/>
        </w:rPr>
        <w:t xml:space="preserve">HEE </w:t>
      </w:r>
      <w:r w:rsidRPr="003C6896">
        <w:rPr>
          <w:rFonts w:eastAsia="Times New Roman"/>
          <w:lang w:bidi="ar-SA"/>
        </w:rPr>
        <w:t>confers its first tier of recognition, with this matching the demands of master’s level learning (level 7) and with specific A</w:t>
      </w:r>
      <w:r>
        <w:rPr>
          <w:rFonts w:eastAsia="Times New Roman"/>
          <w:lang w:bidi="ar-SA"/>
        </w:rPr>
        <w:t xml:space="preserve">dvancing </w:t>
      </w:r>
      <w:r w:rsidRPr="003C6896">
        <w:rPr>
          <w:rFonts w:eastAsia="Times New Roman"/>
          <w:lang w:bidi="ar-SA"/>
        </w:rPr>
        <w:t>P</w:t>
      </w:r>
      <w:r>
        <w:rPr>
          <w:rFonts w:eastAsia="Times New Roman"/>
          <w:lang w:bidi="ar-SA"/>
        </w:rPr>
        <w:t>ractice</w:t>
      </w:r>
      <w:r w:rsidRPr="003C6896">
        <w:rPr>
          <w:rFonts w:eastAsia="Times New Roman"/>
          <w:lang w:bidi="ar-SA"/>
        </w:rPr>
        <w:t xml:space="preserve"> capabilities set out in the HEE A</w:t>
      </w:r>
      <w:r>
        <w:rPr>
          <w:rFonts w:eastAsia="Times New Roman"/>
          <w:lang w:bidi="ar-SA"/>
        </w:rPr>
        <w:t>dvancing Practice</w:t>
      </w:r>
      <w:r w:rsidRPr="003C6896">
        <w:rPr>
          <w:rFonts w:eastAsia="Times New Roman"/>
          <w:lang w:bidi="ar-SA"/>
        </w:rPr>
        <w:t xml:space="preserve"> capability framework </w:t>
      </w:r>
    </w:p>
    <w:p w14:paraId="74C55CDB" w14:textId="16D97752"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Annotation</w:t>
      </w:r>
      <w:r w:rsidRPr="003C6896">
        <w:rPr>
          <w:rFonts w:eastAsia="Times New Roman"/>
          <w:lang w:bidi="ar-SA"/>
        </w:rPr>
        <w:t xml:space="preserve"> – the potential way in which an individual health or care professional’s recognition by the </w:t>
      </w:r>
      <w:r>
        <w:rPr>
          <w:rFonts w:eastAsia="Times New Roman"/>
          <w:lang w:bidi="ar-SA"/>
        </w:rPr>
        <w:t>Centre</w:t>
      </w:r>
      <w:r w:rsidRPr="003C6896">
        <w:rPr>
          <w:rFonts w:eastAsia="Times New Roman"/>
          <w:lang w:bidi="ar-SA"/>
        </w:rPr>
        <w:t> </w:t>
      </w:r>
      <w:r w:rsidRPr="003C6896">
        <w:rPr>
          <w:rFonts w:eastAsia="Times New Roman"/>
          <w:i/>
          <w:iCs/>
          <w:lang w:bidi="ar-SA"/>
        </w:rPr>
        <w:t>might</w:t>
      </w:r>
      <w:r w:rsidRPr="003C6896">
        <w:rPr>
          <w:rFonts w:eastAsia="Times New Roman"/>
          <w:lang w:bidi="ar-SA"/>
        </w:rPr>
        <w:t> be indicated on statutory regulators’ registers </w:t>
      </w:r>
    </w:p>
    <w:p w14:paraId="528832F8" w14:textId="02CF1C43"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Annual monitoring </w:t>
      </w:r>
      <w:r w:rsidRPr="003C6896">
        <w:rPr>
          <w:rFonts w:eastAsia="Times New Roman"/>
          <w:lang w:bidi="ar-SA"/>
        </w:rPr>
        <w:t>– the process that</w:t>
      </w:r>
      <w:r>
        <w:rPr>
          <w:rFonts w:eastAsia="Times New Roman"/>
          <w:lang w:bidi="ar-SA"/>
        </w:rPr>
        <w:t xml:space="preserve">HEE </w:t>
      </w:r>
      <w:r w:rsidRPr="003C6896">
        <w:rPr>
          <w:rFonts w:eastAsia="Times New Roman"/>
          <w:lang w:bidi="ar-SA"/>
        </w:rPr>
        <w:t>operates to ensure that programmes that it accredits continue to meet its quality assurance requirements to retain accredited status (with the additional requirement for programmes to be submitted for periodic re</w:t>
      </w:r>
      <w:r>
        <w:rPr>
          <w:rFonts w:eastAsia="Times New Roman"/>
          <w:lang w:bidi="ar-SA"/>
        </w:rPr>
        <w:t>-</w:t>
      </w:r>
      <w:r w:rsidRPr="003C6896">
        <w:rPr>
          <w:rFonts w:eastAsia="Times New Roman"/>
          <w:lang w:bidi="ar-SA"/>
        </w:rPr>
        <w:t>accreditation)</w:t>
      </w:r>
    </w:p>
    <w:p w14:paraId="4E184636" w14:textId="065A91D1"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Area</w:t>
      </w:r>
      <w:r>
        <w:rPr>
          <w:rFonts w:eastAsia="Times New Roman"/>
          <w:b/>
          <w:bCs/>
          <w:lang w:bidi="ar-SA"/>
        </w:rPr>
        <w:t xml:space="preserve">- </w:t>
      </w:r>
      <w:r w:rsidRPr="003C6896">
        <w:rPr>
          <w:rFonts w:eastAsia="Times New Roman"/>
          <w:b/>
          <w:bCs/>
          <w:lang w:bidi="ar-SA"/>
        </w:rPr>
        <w:t>specific capabilities</w:t>
      </w:r>
      <w:r w:rsidRPr="003C6896">
        <w:rPr>
          <w:rFonts w:eastAsia="Times New Roman"/>
          <w:lang w:bidi="ar-SA"/>
        </w:rPr>
        <w:t xml:space="preserve"> – The assertion of specific capabilities to be met in relation to meeting patient needs in a particular environment, the needs of a particular population or patient group, or patient needs in a particular area of practice that </w:t>
      </w:r>
      <w:r>
        <w:rPr>
          <w:rFonts w:eastAsia="Times New Roman"/>
          <w:lang w:bidi="ar-SA"/>
        </w:rPr>
        <w:t xml:space="preserve">HEE </w:t>
      </w:r>
      <w:r w:rsidRPr="003C6896">
        <w:rPr>
          <w:rFonts w:eastAsia="Times New Roman"/>
          <w:lang w:bidi="ar-SA"/>
        </w:rPr>
        <w:t>uses in considering education programmes for its accreditation</w:t>
      </w:r>
    </w:p>
    <w:p w14:paraId="144A5199" w14:textId="58D124FA"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Assessor</w:t>
      </w:r>
      <w:r w:rsidRPr="003C6896">
        <w:rPr>
          <w:rFonts w:eastAsia="Times New Roman"/>
          <w:lang w:bidi="ar-SA"/>
        </w:rPr>
        <w:t xml:space="preserve"> – the role played on behalf of </w:t>
      </w:r>
      <w:r>
        <w:rPr>
          <w:rFonts w:eastAsia="Times New Roman"/>
          <w:lang w:bidi="ar-SA"/>
        </w:rPr>
        <w:t xml:space="preserve">HEE </w:t>
      </w:r>
      <w:r w:rsidRPr="003C6896">
        <w:rPr>
          <w:rFonts w:eastAsia="Times New Roman"/>
          <w:lang w:bidi="ar-SA"/>
        </w:rPr>
        <w:t>to consider whether a programme meets the requirements for accreditation</w:t>
      </w:r>
      <w:r>
        <w:rPr>
          <w:rFonts w:eastAsia="Times New Roman"/>
          <w:lang w:bidi="ar-SA"/>
        </w:rPr>
        <w:t>.</w:t>
      </w:r>
    </w:p>
    <w:p w14:paraId="0229151B" w14:textId="655FCDEF"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Capabilities</w:t>
      </w:r>
      <w:r w:rsidRPr="003C6896">
        <w:rPr>
          <w:rFonts w:eastAsia="Times New Roman"/>
          <w:lang w:bidi="ar-SA"/>
        </w:rPr>
        <w:t xml:space="preserve"> – the requirements in terms of knowledge, skills and behaviours that the </w:t>
      </w:r>
      <w:r>
        <w:rPr>
          <w:rFonts w:eastAsia="Times New Roman"/>
          <w:lang w:bidi="ar-SA"/>
        </w:rPr>
        <w:t>Centre</w:t>
      </w:r>
      <w:r w:rsidRPr="003C6896">
        <w:rPr>
          <w:rFonts w:eastAsia="Times New Roman"/>
          <w:lang w:bidi="ar-SA"/>
        </w:rPr>
        <w:t xml:space="preserve"> specifies for conferring its recognition, with these relating to A</w:t>
      </w:r>
      <w:r>
        <w:rPr>
          <w:rFonts w:eastAsia="Times New Roman"/>
          <w:lang w:bidi="ar-SA"/>
        </w:rPr>
        <w:t xml:space="preserve">dvancing </w:t>
      </w:r>
      <w:r w:rsidRPr="003C6896">
        <w:rPr>
          <w:rFonts w:eastAsia="Times New Roman"/>
          <w:lang w:bidi="ar-SA"/>
        </w:rPr>
        <w:t>P</w:t>
      </w:r>
      <w:r>
        <w:rPr>
          <w:rFonts w:eastAsia="Times New Roman"/>
          <w:lang w:bidi="ar-SA"/>
        </w:rPr>
        <w:t xml:space="preserve">ractice </w:t>
      </w:r>
      <w:r w:rsidRPr="003C6896">
        <w:rPr>
          <w:rFonts w:eastAsia="Times New Roman"/>
          <w:lang w:bidi="ar-SA"/>
        </w:rPr>
        <w:t>and consultant level and set out in HEE’s capability frameworks</w:t>
      </w:r>
    </w:p>
    <w:p w14:paraId="7D1B5AF6" w14:textId="3D905239" w:rsidR="00961868" w:rsidRDefault="00961868" w:rsidP="003C6896">
      <w:pPr>
        <w:widowControl/>
        <w:autoSpaceDE/>
        <w:autoSpaceDN/>
        <w:rPr>
          <w:rFonts w:eastAsia="Times New Roman"/>
          <w:lang w:bidi="ar-SA"/>
        </w:rPr>
      </w:pPr>
      <w:r w:rsidRPr="003C6896">
        <w:rPr>
          <w:rFonts w:eastAsia="Times New Roman"/>
          <w:b/>
          <w:bCs/>
          <w:lang w:bidi="ar-SA"/>
        </w:rPr>
        <w:t>Capability framework:</w:t>
      </w:r>
      <w:r w:rsidRPr="003C6896">
        <w:rPr>
          <w:rFonts w:eastAsia="Times New Roman"/>
          <w:lang w:bidi="ar-SA"/>
        </w:rPr>
        <w:t xml:space="preserve"> A resource that </w:t>
      </w:r>
      <w:r>
        <w:rPr>
          <w:rFonts w:eastAsia="Times New Roman"/>
          <w:lang w:bidi="ar-SA"/>
        </w:rPr>
        <w:t xml:space="preserve">defines </w:t>
      </w:r>
      <w:r w:rsidRPr="003C6896">
        <w:rPr>
          <w:rFonts w:eastAsia="Times New Roman"/>
          <w:lang w:bidi="ar-SA"/>
        </w:rPr>
        <w:t>a set of capabilities to help to define and inform a learning and development process (whether formal or informal)</w:t>
      </w:r>
    </w:p>
    <w:p w14:paraId="2A9CAC4E" w14:textId="70915067" w:rsidR="00961868" w:rsidRPr="003C6896" w:rsidRDefault="00961868" w:rsidP="003C6896">
      <w:pPr>
        <w:widowControl/>
        <w:autoSpaceDE/>
        <w:autoSpaceDN/>
        <w:rPr>
          <w:rFonts w:ascii="Calibri" w:eastAsia="Times New Roman" w:hAnsi="Calibri" w:cs="Calibri"/>
          <w:lang w:bidi="ar-SA"/>
        </w:rPr>
      </w:pPr>
      <w:r w:rsidRPr="003C6896">
        <w:rPr>
          <w:rFonts w:eastAsia="Times New Roman"/>
          <w:lang w:bidi="ar-SA"/>
        </w:rPr>
        <w:t>) </w:t>
      </w:r>
    </w:p>
    <w:p w14:paraId="1D7D8B61" w14:textId="77777777"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Clinical governance</w:t>
      </w:r>
      <w:r w:rsidRPr="003C6896">
        <w:rPr>
          <w:rFonts w:eastAsia="Times New Roman"/>
          <w:lang w:bidi="ar-SA"/>
        </w:rPr>
        <w:t> – the local arrangements (including protocols, systems and processes) that are developed and implemented (in line with national requirements) to ensure transparent, robust arrangements for the safe, effective delivery and review of patient care and therefore for service delivery, workforce deployment, data collection, evaluation and reporting</w:t>
      </w:r>
    </w:p>
    <w:p w14:paraId="7458C3F4" w14:textId="095CC2D4"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Competence</w:t>
      </w:r>
      <w:r>
        <w:rPr>
          <w:rFonts w:eastAsia="Times New Roman"/>
          <w:b/>
          <w:bCs/>
          <w:lang w:bidi="ar-SA"/>
        </w:rPr>
        <w:t xml:space="preserve"> -</w:t>
      </w:r>
      <w:r w:rsidRPr="003C6896">
        <w:rPr>
          <w:rFonts w:eastAsia="Times New Roman"/>
          <w:b/>
          <w:bCs/>
          <w:lang w:bidi="ar-SA"/>
        </w:rPr>
        <w:t> </w:t>
      </w:r>
      <w:r w:rsidRPr="003C6896">
        <w:rPr>
          <w:rFonts w:eastAsia="Times New Roman"/>
          <w:lang w:bidi="ar-SA"/>
        </w:rPr>
        <w:t>A specific, demonstrable ability to do something (i.e. to perform a particular skill, intervention or task), underpinned by relevant knowledge, but without necessarily being accompanied by specific behaviours (as captured in capabilities) to determine and moderate whether and how something is done</w:t>
      </w:r>
    </w:p>
    <w:p w14:paraId="35DE293C" w14:textId="11C67535"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Credential</w:t>
      </w:r>
      <w:r>
        <w:rPr>
          <w:rFonts w:eastAsia="Times New Roman"/>
          <w:lang w:bidi="ar-SA"/>
        </w:rPr>
        <w:t xml:space="preserve"> – a specific unit of learning that is deemed to be of value and which the can offer recognition to an individual that has successfully completed such learning.</w:t>
      </w:r>
    </w:p>
    <w:p w14:paraId="252F547B" w14:textId="57FC1B05"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Curriculum:</w:t>
      </w:r>
      <w:r w:rsidRPr="003C6896">
        <w:rPr>
          <w:rFonts w:eastAsia="Times New Roman"/>
          <w:lang w:bidi="ar-SA"/>
        </w:rPr>
        <w:t> A specific programme of learning designed to support the fulfilment of defined learning outcomes, with specified assessment approaches to enable the demonstration of the learning outcomes</w:t>
      </w:r>
    </w:p>
    <w:p w14:paraId="23C8BAB1" w14:textId="74F83AD1"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Curriculum framework</w:t>
      </w:r>
      <w:r>
        <w:rPr>
          <w:rFonts w:eastAsia="Times New Roman"/>
          <w:b/>
          <w:bCs/>
          <w:lang w:bidi="ar-SA"/>
        </w:rPr>
        <w:t xml:space="preserve"> -</w:t>
      </w:r>
      <w:r w:rsidRPr="003C6896">
        <w:rPr>
          <w:rFonts w:eastAsia="Times New Roman"/>
          <w:b/>
          <w:bCs/>
          <w:lang w:bidi="ar-SA"/>
        </w:rPr>
        <w:t> </w:t>
      </w:r>
      <w:r w:rsidRPr="003C6896">
        <w:rPr>
          <w:rFonts w:eastAsia="Times New Roman"/>
          <w:lang w:bidi="ar-SA"/>
        </w:rPr>
        <w:t>A broad indication of how programmes of learning should be designed, delivered and evaluated to enable the development of particular capabilities and that is used to inform the development of individual programme curricula (within which specific learning outcomes are defined)</w:t>
      </w:r>
    </w:p>
    <w:p w14:paraId="66AEE121" w14:textId="494CA4E9"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Delegated authority</w:t>
      </w:r>
      <w:r w:rsidRPr="003C6896">
        <w:rPr>
          <w:rFonts w:eastAsia="Times New Roman"/>
          <w:lang w:bidi="ar-SA"/>
        </w:rPr>
        <w:t xml:space="preserve"> – the way in which </w:t>
      </w:r>
      <w:r>
        <w:rPr>
          <w:rFonts w:eastAsia="Times New Roman"/>
          <w:lang w:bidi="ar-SA"/>
        </w:rPr>
        <w:t>HEE</w:t>
      </w:r>
      <w:r w:rsidRPr="003C6896">
        <w:rPr>
          <w:rFonts w:eastAsia="Times New Roman"/>
          <w:lang w:bidi="ar-SA"/>
        </w:rPr>
        <w:t> </w:t>
      </w:r>
      <w:r w:rsidRPr="003C6896">
        <w:rPr>
          <w:rFonts w:eastAsia="Times New Roman"/>
          <w:i/>
          <w:iCs/>
          <w:lang w:bidi="ar-SA"/>
        </w:rPr>
        <w:t>may</w:t>
      </w:r>
      <w:r w:rsidRPr="003C6896">
        <w:rPr>
          <w:rFonts w:eastAsia="Times New Roman"/>
          <w:lang w:bidi="ar-SA"/>
        </w:rPr>
        <w:t> confer permission on other agencies to undertake activity on its behalf, working with the A</w:t>
      </w:r>
      <w:r>
        <w:rPr>
          <w:rFonts w:eastAsia="Times New Roman"/>
          <w:lang w:bidi="ar-SA"/>
        </w:rPr>
        <w:t xml:space="preserve">dvancing </w:t>
      </w:r>
      <w:r w:rsidRPr="003C6896">
        <w:rPr>
          <w:rFonts w:eastAsia="Times New Roman"/>
          <w:lang w:bidi="ar-SA"/>
        </w:rPr>
        <w:t>P</w:t>
      </w:r>
      <w:r>
        <w:rPr>
          <w:rFonts w:eastAsia="Times New Roman"/>
          <w:lang w:bidi="ar-SA"/>
        </w:rPr>
        <w:t>ractice</w:t>
      </w:r>
      <w:r w:rsidRPr="003C6896">
        <w:rPr>
          <w:rFonts w:eastAsia="Times New Roman"/>
          <w:lang w:bidi="ar-SA"/>
        </w:rPr>
        <w:t xml:space="preserve"> capabilities, </w:t>
      </w:r>
      <w:r>
        <w:rPr>
          <w:rFonts w:eastAsia="Times New Roman"/>
          <w:lang w:bidi="ar-SA"/>
        </w:rPr>
        <w:t>SET</w:t>
      </w:r>
      <w:r w:rsidRPr="003C6896">
        <w:rPr>
          <w:rFonts w:eastAsia="Times New Roman"/>
          <w:lang w:bidi="ar-SA"/>
        </w:rPr>
        <w:t>,</w:t>
      </w:r>
      <w:r>
        <w:rPr>
          <w:rFonts w:eastAsia="Times New Roman"/>
          <w:lang w:bidi="ar-SA"/>
        </w:rPr>
        <w:t xml:space="preserve"> portfolio route</w:t>
      </w:r>
      <w:r w:rsidRPr="003C6896">
        <w:rPr>
          <w:rFonts w:eastAsia="Times New Roman"/>
          <w:lang w:bidi="ar-SA"/>
        </w:rPr>
        <w:t xml:space="preserve"> and through demonstrating adherence to its quality assurance and other process, evaluation and reporting requirements</w:t>
      </w:r>
    </w:p>
    <w:p w14:paraId="5BC4F846" w14:textId="1597D224"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Evidence profile</w:t>
      </w:r>
      <w:r w:rsidRPr="003C6896">
        <w:rPr>
          <w:rFonts w:eastAsia="Times New Roman"/>
          <w:lang w:bidi="ar-SA"/>
        </w:rPr>
        <w:t> – the structured collection of materials through which individual practitioners seek to demonstrate their fulfilment of the</w:t>
      </w:r>
      <w:r>
        <w:rPr>
          <w:rFonts w:eastAsia="Times New Roman"/>
          <w:lang w:bidi="ar-SA"/>
        </w:rPr>
        <w:t xml:space="preserve"> HEE’s</w:t>
      </w:r>
      <w:r w:rsidRPr="003C6896">
        <w:rPr>
          <w:rFonts w:eastAsia="Times New Roman"/>
          <w:lang w:bidi="ar-SA"/>
        </w:rPr>
        <w:t xml:space="preserve"> </w:t>
      </w:r>
      <w:r>
        <w:rPr>
          <w:rFonts w:eastAsia="Times New Roman"/>
          <w:lang w:bidi="ar-SA"/>
        </w:rPr>
        <w:t xml:space="preserve">Advancing </w:t>
      </w:r>
      <w:r w:rsidRPr="003C6896">
        <w:rPr>
          <w:rFonts w:eastAsia="Times New Roman"/>
          <w:lang w:bidi="ar-SA"/>
        </w:rPr>
        <w:t>P</w:t>
      </w:r>
      <w:r>
        <w:rPr>
          <w:rFonts w:eastAsia="Times New Roman"/>
          <w:lang w:bidi="ar-SA"/>
        </w:rPr>
        <w:t>ractice</w:t>
      </w:r>
      <w:r w:rsidRPr="003C6896">
        <w:rPr>
          <w:rFonts w:eastAsia="Times New Roman"/>
          <w:lang w:bidi="ar-SA"/>
        </w:rPr>
        <w:t xml:space="preserve"> capabilities and that they submit for assessment through the </w:t>
      </w:r>
      <w:r>
        <w:rPr>
          <w:rFonts w:eastAsia="Times New Roman"/>
          <w:lang w:bidi="ar-SA"/>
        </w:rPr>
        <w:t>Portfolio</w:t>
      </w:r>
      <w:r w:rsidRPr="003C6896">
        <w:rPr>
          <w:rFonts w:eastAsia="Times New Roman"/>
          <w:lang w:bidi="ar-SA"/>
        </w:rPr>
        <w:t xml:space="preserve"> Route, with a view to achieving recognition</w:t>
      </w:r>
    </w:p>
    <w:p w14:paraId="2E758154" w14:textId="38B83C46"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Governance</w:t>
      </w:r>
      <w:r w:rsidRPr="003C6896">
        <w:rPr>
          <w:rFonts w:eastAsia="Times New Roman"/>
          <w:lang w:bidi="ar-SA"/>
        </w:rPr>
        <w:t xml:space="preserve"> – the systems and processes that </w:t>
      </w:r>
      <w:r>
        <w:rPr>
          <w:rFonts w:eastAsia="Times New Roman"/>
          <w:lang w:bidi="ar-SA"/>
        </w:rPr>
        <w:t xml:space="preserve">HEE </w:t>
      </w:r>
      <w:r w:rsidRPr="003C6896">
        <w:rPr>
          <w:rFonts w:eastAsia="Times New Roman"/>
          <w:lang w:bidi="ar-SA"/>
        </w:rPr>
        <w:t>has in place to ensure that it fulfils its role and functions with consistency, transparency and rigour, including through evaluation and review </w:t>
      </w:r>
    </w:p>
    <w:p w14:paraId="6CEF3C91" w14:textId="6D6B561B"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Learning outcomes </w:t>
      </w:r>
      <w:r>
        <w:rPr>
          <w:rFonts w:eastAsia="Times New Roman"/>
          <w:lang w:bidi="ar-SA"/>
        </w:rPr>
        <w:t>-</w:t>
      </w:r>
      <w:r w:rsidRPr="003C6896">
        <w:rPr>
          <w:rFonts w:eastAsia="Times New Roman"/>
          <w:lang w:bidi="ar-SA"/>
        </w:rPr>
        <w:t xml:space="preserve"> The specific learning that individuals should be enabled to develop and demonstrate through completing a particular programme of learning (that shape a curriculum, reflect a curriculum framework and that enable defined capabilities to be developed)</w:t>
      </w:r>
    </w:p>
    <w:p w14:paraId="30F38AB3" w14:textId="4A2162F5"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Level 7 </w:t>
      </w:r>
      <w:r>
        <w:rPr>
          <w:rFonts w:eastAsia="Times New Roman"/>
          <w:lang w:bidi="ar-SA"/>
        </w:rPr>
        <w:t>-</w:t>
      </w:r>
      <w:r w:rsidRPr="003C6896">
        <w:rPr>
          <w:rFonts w:eastAsia="Times New Roman"/>
          <w:lang w:bidi="ar-SA"/>
        </w:rPr>
        <w:t xml:space="preserve"> The level of learning required at master’s degree level, with a strong emphasis on managing complexity, uncertainty and risk</w:t>
      </w:r>
    </w:p>
    <w:p w14:paraId="0A1CD0F8" w14:textId="29F90CA7"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Level 8 </w:t>
      </w:r>
      <w:r>
        <w:rPr>
          <w:rFonts w:eastAsia="Times New Roman"/>
          <w:lang w:bidi="ar-SA"/>
        </w:rPr>
        <w:t>-</w:t>
      </w:r>
      <w:r w:rsidRPr="003C6896">
        <w:rPr>
          <w:rFonts w:eastAsia="Times New Roman"/>
          <w:lang w:bidi="ar-SA"/>
        </w:rPr>
        <w:t xml:space="preserve"> The level of learning required at doctoral level, with a strong emphasis on subject</w:t>
      </w:r>
      <w:r>
        <w:rPr>
          <w:rFonts w:eastAsia="Times New Roman"/>
          <w:lang w:bidi="ar-SA"/>
        </w:rPr>
        <w:t>-</w:t>
      </w:r>
      <w:r w:rsidRPr="003C6896">
        <w:rPr>
          <w:rFonts w:eastAsia="Times New Roman"/>
          <w:lang w:bidi="ar-SA"/>
        </w:rPr>
        <w:t>specific expertise, knowledge creation and dissemination, and a wide sphere of influence</w:t>
      </w:r>
    </w:p>
    <w:p w14:paraId="0E8968B4" w14:textId="39358DD6" w:rsidR="00961868" w:rsidRDefault="00961868" w:rsidP="003C6896">
      <w:pPr>
        <w:widowControl/>
        <w:autoSpaceDE/>
        <w:autoSpaceDN/>
        <w:rPr>
          <w:rFonts w:eastAsia="Times New Roman"/>
          <w:lang w:bidi="ar-SA"/>
        </w:rPr>
      </w:pPr>
      <w:r w:rsidRPr="003C6896">
        <w:rPr>
          <w:rFonts w:eastAsia="Times New Roman"/>
          <w:b/>
          <w:bCs/>
          <w:lang w:bidi="ar-SA"/>
        </w:rPr>
        <w:t>Level of capability/practice</w:t>
      </w:r>
      <w:r w:rsidRPr="003C6896">
        <w:rPr>
          <w:rFonts w:eastAsia="Times New Roman"/>
          <w:lang w:bidi="ar-SA"/>
        </w:rPr>
        <w:t xml:space="preserve"> – the way in which </w:t>
      </w:r>
      <w:r>
        <w:rPr>
          <w:rFonts w:eastAsia="Times New Roman"/>
          <w:lang w:bidi="ar-SA"/>
        </w:rPr>
        <w:t>HEE</w:t>
      </w:r>
      <w:r w:rsidRPr="003C6896">
        <w:rPr>
          <w:rFonts w:eastAsia="Times New Roman"/>
          <w:lang w:bidi="ar-SA"/>
        </w:rPr>
        <w:t xml:space="preserve"> defines how it pitches its demands and requirements for recognition in terms of their implications for managing complexity, uncertainty and risk, and with direct reference to the requirements of registered practice and the demands of master’s and doctoral level learning</w:t>
      </w:r>
      <w:r>
        <w:rPr>
          <w:rFonts w:eastAsia="Times New Roman"/>
          <w:lang w:bidi="ar-SA"/>
        </w:rPr>
        <w:t>.</w:t>
      </w:r>
    </w:p>
    <w:p w14:paraId="78B74894" w14:textId="69C329CF" w:rsidR="00961868" w:rsidRPr="003C6896" w:rsidRDefault="00961868" w:rsidP="003C6896">
      <w:pPr>
        <w:widowControl/>
        <w:autoSpaceDE/>
        <w:autoSpaceDN/>
        <w:rPr>
          <w:rFonts w:ascii="Calibri" w:eastAsia="Times New Roman" w:hAnsi="Calibri" w:cs="Calibri"/>
          <w:lang w:bidi="ar-SA"/>
        </w:rPr>
      </w:pPr>
      <w:r>
        <w:rPr>
          <w:rFonts w:eastAsia="Times New Roman"/>
          <w:b/>
          <w:bCs/>
          <w:lang w:bidi="ar-SA"/>
        </w:rPr>
        <w:t>Portfolio</w:t>
      </w:r>
      <w:r w:rsidRPr="003C6896">
        <w:rPr>
          <w:rFonts w:eastAsia="Times New Roman"/>
          <w:b/>
          <w:bCs/>
          <w:lang w:bidi="ar-SA"/>
        </w:rPr>
        <w:t xml:space="preserve"> Route</w:t>
      </w:r>
      <w:r w:rsidRPr="003C6896">
        <w:rPr>
          <w:rFonts w:eastAsia="Times New Roman"/>
          <w:lang w:bidi="ar-SA"/>
        </w:rPr>
        <w:t xml:space="preserve"> – the route through which individual practitioners can seek to demonstrate fulfilment of </w:t>
      </w:r>
      <w:r>
        <w:rPr>
          <w:rFonts w:eastAsia="Times New Roman"/>
          <w:lang w:bidi="ar-SA"/>
        </w:rPr>
        <w:t>Centre</w:t>
      </w:r>
      <w:r w:rsidRPr="003C6896">
        <w:rPr>
          <w:rFonts w:eastAsia="Times New Roman"/>
          <w:lang w:bidi="ar-SA"/>
        </w:rPr>
        <w:t xml:space="preserve"> requirements for recognition through submitting an evidence profile for assessment against </w:t>
      </w:r>
      <w:r>
        <w:rPr>
          <w:rFonts w:eastAsia="Times New Roman"/>
          <w:lang w:bidi="ar-SA"/>
        </w:rPr>
        <w:t>HEE’s</w:t>
      </w:r>
      <w:r w:rsidRPr="003C6896">
        <w:rPr>
          <w:rFonts w:eastAsia="Times New Roman"/>
          <w:lang w:bidi="ar-SA"/>
        </w:rPr>
        <w:t xml:space="preserve"> A</w:t>
      </w:r>
      <w:r>
        <w:rPr>
          <w:rFonts w:eastAsia="Times New Roman"/>
          <w:lang w:bidi="ar-SA"/>
        </w:rPr>
        <w:t xml:space="preserve">dvancing </w:t>
      </w:r>
      <w:r w:rsidRPr="003C6896">
        <w:rPr>
          <w:rFonts w:eastAsia="Times New Roman"/>
          <w:lang w:bidi="ar-SA"/>
        </w:rPr>
        <w:t>P</w:t>
      </w:r>
      <w:r>
        <w:rPr>
          <w:rFonts w:eastAsia="Times New Roman"/>
          <w:lang w:bidi="ar-SA"/>
        </w:rPr>
        <w:t>ractice</w:t>
      </w:r>
      <w:r w:rsidRPr="003C6896">
        <w:rPr>
          <w:rFonts w:eastAsia="Times New Roman"/>
          <w:lang w:bidi="ar-SA"/>
        </w:rPr>
        <w:t xml:space="preserve"> capabilities</w:t>
      </w:r>
    </w:p>
    <w:p w14:paraId="4882741E" w14:textId="34A6B926"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Quality assurance </w:t>
      </w:r>
      <w:r w:rsidRPr="003C6896">
        <w:rPr>
          <w:rFonts w:eastAsia="Times New Roman"/>
          <w:lang w:bidi="ar-SA"/>
        </w:rPr>
        <w:t xml:space="preserve">– the processes </w:t>
      </w:r>
      <w:r>
        <w:rPr>
          <w:rFonts w:eastAsia="Times New Roman"/>
          <w:lang w:bidi="ar-SA"/>
        </w:rPr>
        <w:t>HEE</w:t>
      </w:r>
      <w:r w:rsidRPr="003C6896">
        <w:rPr>
          <w:rFonts w:eastAsia="Times New Roman"/>
          <w:lang w:bidi="ar-SA"/>
        </w:rPr>
        <w:t xml:space="preserve"> has in place to ensure the consistency, rigour, transparency and probity of its recognition criteria and processes</w:t>
      </w:r>
    </w:p>
    <w:p w14:paraId="4FAD7B9D" w14:textId="504D8E72"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Recognition</w:t>
      </w:r>
      <w:r w:rsidRPr="003C6896">
        <w:rPr>
          <w:rFonts w:eastAsia="Times New Roman"/>
          <w:lang w:bidi="ar-SA"/>
        </w:rPr>
        <w:t xml:space="preserve"> – the key focus of the </w:t>
      </w:r>
      <w:r>
        <w:rPr>
          <w:rFonts w:eastAsia="Times New Roman"/>
          <w:lang w:bidi="ar-SA"/>
        </w:rPr>
        <w:t xml:space="preserve">HEE’s </w:t>
      </w:r>
      <w:r w:rsidRPr="003C6896">
        <w:rPr>
          <w:rFonts w:eastAsia="Times New Roman"/>
          <w:lang w:bidi="ar-SA"/>
        </w:rPr>
        <w:t>function, with recognition of individual practitioners denoting that they fulfil either the A</w:t>
      </w:r>
      <w:r>
        <w:rPr>
          <w:rFonts w:eastAsia="Times New Roman"/>
          <w:lang w:bidi="ar-SA"/>
        </w:rPr>
        <w:t xml:space="preserve">dvancing </w:t>
      </w:r>
      <w:r w:rsidRPr="003C6896">
        <w:rPr>
          <w:rFonts w:eastAsia="Times New Roman"/>
          <w:lang w:bidi="ar-SA"/>
        </w:rPr>
        <w:t>P</w:t>
      </w:r>
      <w:r>
        <w:rPr>
          <w:rFonts w:eastAsia="Times New Roman"/>
          <w:lang w:bidi="ar-SA"/>
        </w:rPr>
        <w:t>ractice</w:t>
      </w:r>
      <w:r w:rsidRPr="003C6896">
        <w:rPr>
          <w:rFonts w:eastAsia="Times New Roman"/>
          <w:lang w:bidi="ar-SA"/>
        </w:rPr>
        <w:t xml:space="preserve"> or Consultant capabilities and are eligible to appear on </w:t>
      </w:r>
      <w:r>
        <w:rPr>
          <w:rFonts w:eastAsia="Times New Roman"/>
          <w:lang w:bidi="ar-SA"/>
        </w:rPr>
        <w:t>HEE’s record (see above)</w:t>
      </w:r>
    </w:p>
    <w:p w14:paraId="4D6C1245" w14:textId="29FC5FD3"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Renewal</w:t>
      </w:r>
      <w:r w:rsidRPr="003C6896">
        <w:rPr>
          <w:rFonts w:eastAsia="Times New Roman"/>
          <w:lang w:bidi="ar-SA"/>
        </w:rPr>
        <w:t> – the process with which programmes and individuals are required to engage to seek re</w:t>
      </w:r>
      <w:r>
        <w:rPr>
          <w:rFonts w:eastAsia="Times New Roman"/>
          <w:lang w:bidi="ar-SA"/>
        </w:rPr>
        <w:t>-</w:t>
      </w:r>
      <w:r w:rsidRPr="003C6896">
        <w:rPr>
          <w:rFonts w:eastAsia="Times New Roman"/>
          <w:lang w:bidi="ar-SA"/>
        </w:rPr>
        <w:t xml:space="preserve">accreditation and to maintain their recognition </w:t>
      </w:r>
    </w:p>
    <w:p w14:paraId="4605D1E9" w14:textId="6F70425C"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Routes to recognition</w:t>
      </w:r>
      <w:r w:rsidRPr="003C6896">
        <w:rPr>
          <w:rFonts w:eastAsia="Times New Roman"/>
          <w:lang w:bidi="ar-SA"/>
        </w:rPr>
        <w:t> – the different ways in which individual practitioners can secure recognition, with these being via a</w:t>
      </w:r>
      <w:r>
        <w:rPr>
          <w:rFonts w:eastAsia="Times New Roman"/>
          <w:lang w:bidi="ar-SA"/>
        </w:rPr>
        <w:t>n</w:t>
      </w:r>
      <w:r w:rsidRPr="003C6896">
        <w:rPr>
          <w:rFonts w:eastAsia="Times New Roman"/>
          <w:lang w:bidi="ar-SA"/>
        </w:rPr>
        <w:t xml:space="preserve"> </w:t>
      </w:r>
      <w:r>
        <w:rPr>
          <w:rFonts w:eastAsia="Times New Roman"/>
          <w:lang w:bidi="ar-SA"/>
        </w:rPr>
        <w:t>HEE-</w:t>
      </w:r>
      <w:r w:rsidRPr="003C6896">
        <w:rPr>
          <w:rFonts w:eastAsia="Times New Roman"/>
          <w:lang w:bidi="ar-SA"/>
        </w:rPr>
        <w:t xml:space="preserve">accredited education route or via the </w:t>
      </w:r>
      <w:r>
        <w:rPr>
          <w:rFonts w:eastAsia="Times New Roman"/>
          <w:lang w:bidi="ar-SA"/>
        </w:rPr>
        <w:t>HEE’s Portfolio</w:t>
      </w:r>
      <w:r w:rsidRPr="003C6896">
        <w:rPr>
          <w:rFonts w:eastAsia="Times New Roman"/>
          <w:lang w:bidi="ar-SA"/>
        </w:rPr>
        <w:t xml:space="preserve"> Route through submitting an evidence profile for assessment  </w:t>
      </w:r>
    </w:p>
    <w:p w14:paraId="6852A03F" w14:textId="0999B9A3"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Self</w:t>
      </w:r>
      <w:r>
        <w:rPr>
          <w:rFonts w:eastAsia="Times New Roman"/>
          <w:b/>
          <w:bCs/>
          <w:lang w:bidi="ar-SA"/>
        </w:rPr>
        <w:t>-</w:t>
      </w:r>
      <w:r w:rsidRPr="003C6896">
        <w:rPr>
          <w:rFonts w:eastAsia="Times New Roman"/>
          <w:b/>
          <w:bCs/>
          <w:lang w:bidi="ar-SA"/>
        </w:rPr>
        <w:t>assessment document (SAD) </w:t>
      </w:r>
      <w:r w:rsidRPr="003C6896">
        <w:rPr>
          <w:rFonts w:eastAsia="Times New Roman"/>
          <w:lang w:bidi="ar-SA"/>
        </w:rPr>
        <w:t>– the template that education providers are required to complete to apply for accreditation, with a focus on demonstrating how their programme enables fulfilment of the A</w:t>
      </w:r>
      <w:r>
        <w:rPr>
          <w:rFonts w:eastAsia="Times New Roman"/>
          <w:lang w:bidi="ar-SA"/>
        </w:rPr>
        <w:t xml:space="preserve">dvancing </w:t>
      </w:r>
      <w:r w:rsidRPr="003C6896">
        <w:rPr>
          <w:rFonts w:eastAsia="Times New Roman"/>
          <w:lang w:bidi="ar-SA"/>
        </w:rPr>
        <w:t>P</w:t>
      </w:r>
      <w:r>
        <w:rPr>
          <w:rFonts w:eastAsia="Times New Roman"/>
          <w:lang w:bidi="ar-SA"/>
        </w:rPr>
        <w:t>ractice:</w:t>
      </w:r>
      <w:r w:rsidRPr="003C6896">
        <w:rPr>
          <w:rFonts w:eastAsia="Times New Roman"/>
          <w:lang w:bidi="ar-SA"/>
        </w:rPr>
        <w:t xml:space="preserve"> or Consultant</w:t>
      </w:r>
      <w:r>
        <w:rPr>
          <w:rFonts w:eastAsia="Times New Roman"/>
          <w:lang w:bidi="ar-SA"/>
        </w:rPr>
        <w:t>-</w:t>
      </w:r>
      <w:r w:rsidRPr="003C6896">
        <w:rPr>
          <w:rFonts w:eastAsia="Times New Roman"/>
          <w:lang w:bidi="ar-SA"/>
        </w:rPr>
        <w:t>level capabilities and meets the Standards of Education &amp; Training (</w:t>
      </w:r>
      <w:r>
        <w:rPr>
          <w:rFonts w:eastAsia="Times New Roman"/>
          <w:lang w:bidi="ar-SA"/>
        </w:rPr>
        <w:t>SET</w:t>
      </w:r>
      <w:r w:rsidRPr="003C6896">
        <w:rPr>
          <w:rFonts w:eastAsia="Times New Roman"/>
          <w:lang w:bidi="ar-SA"/>
        </w:rPr>
        <w:t xml:space="preserve">) through mapping against the capabilities and </w:t>
      </w:r>
      <w:r>
        <w:rPr>
          <w:rFonts w:eastAsia="Times New Roman"/>
          <w:lang w:bidi="ar-SA"/>
        </w:rPr>
        <w:t xml:space="preserve">SET </w:t>
      </w:r>
      <w:r w:rsidRPr="003C6896">
        <w:rPr>
          <w:rFonts w:eastAsia="Times New Roman"/>
          <w:lang w:bidi="ar-SA"/>
        </w:rPr>
        <w:t>and supplying other programme documentation to substantiate the case made</w:t>
      </w:r>
    </w:p>
    <w:p w14:paraId="44DA9177" w14:textId="6DE367F6"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Self</w:t>
      </w:r>
      <w:r>
        <w:rPr>
          <w:rFonts w:eastAsia="Times New Roman"/>
          <w:b/>
          <w:bCs/>
          <w:lang w:bidi="ar-SA"/>
        </w:rPr>
        <w:t>-</w:t>
      </w:r>
      <w:r w:rsidRPr="003C6896">
        <w:rPr>
          <w:rFonts w:eastAsia="Times New Roman"/>
          <w:b/>
          <w:bCs/>
          <w:lang w:bidi="ar-SA"/>
        </w:rPr>
        <w:t>declaration process</w:t>
      </w:r>
      <w:r w:rsidRPr="003C6896">
        <w:rPr>
          <w:rFonts w:eastAsia="Times New Roman"/>
          <w:lang w:bidi="ar-SA"/>
        </w:rPr>
        <w:t> – the way in which individual practitioners who are deemed eligible for recognition are required to indicate their understanding of their understanding of the meaning of recognition and the responsibilities that they continue to carry for their conduct and practice as a health or care professional subject to statutory regulation</w:t>
      </w:r>
    </w:p>
    <w:p w14:paraId="100B5062" w14:textId="6D1DC650"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Stakeholder</w:t>
      </w:r>
      <w:r w:rsidRPr="003C6896">
        <w:rPr>
          <w:rFonts w:eastAsia="Times New Roman"/>
          <w:lang w:bidi="ar-SA"/>
        </w:rPr>
        <w:t xml:space="preserve"> – the range of agencies with which </w:t>
      </w:r>
      <w:r>
        <w:rPr>
          <w:rFonts w:eastAsia="Times New Roman"/>
          <w:lang w:bidi="ar-SA"/>
        </w:rPr>
        <w:t xml:space="preserve">HEE </w:t>
      </w:r>
      <w:r w:rsidRPr="003C6896">
        <w:rPr>
          <w:rFonts w:eastAsia="Times New Roman"/>
          <w:lang w:bidi="ar-SA"/>
        </w:rPr>
        <w:t>liaises to develop, implement and evaluate its purpose and function, including patient groups, government bodies, employers, professional bodies and trade unions, statutory regulators, HEIs and medical royal colleges</w:t>
      </w:r>
    </w:p>
    <w:p w14:paraId="1D178463" w14:textId="216B2997"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Standards of Education &amp; Training (</w:t>
      </w:r>
      <w:r>
        <w:rPr>
          <w:rFonts w:eastAsia="Times New Roman"/>
          <w:b/>
          <w:bCs/>
          <w:lang w:bidi="ar-SA"/>
        </w:rPr>
        <w:t>SET</w:t>
      </w:r>
      <w:r w:rsidRPr="003C6896">
        <w:rPr>
          <w:rFonts w:eastAsia="Times New Roman"/>
          <w:b/>
          <w:bCs/>
          <w:lang w:bidi="ar-SA"/>
        </w:rPr>
        <w:t>)</w:t>
      </w:r>
      <w:r w:rsidRPr="003C6896">
        <w:rPr>
          <w:rFonts w:eastAsia="Times New Roman"/>
          <w:lang w:bidi="ar-SA"/>
        </w:rPr>
        <w:t xml:space="preserve"> – the document in which </w:t>
      </w:r>
      <w:r>
        <w:rPr>
          <w:rFonts w:eastAsia="Times New Roman"/>
          <w:lang w:bidi="ar-SA"/>
        </w:rPr>
        <w:t xml:space="preserve">HEE </w:t>
      </w:r>
      <w:r w:rsidRPr="003C6896">
        <w:rPr>
          <w:rFonts w:eastAsia="Times New Roman"/>
          <w:lang w:bidi="ar-SA"/>
        </w:rPr>
        <w:t xml:space="preserve">asserts its expectations of formal programmes of learning which practitioners can be supported to develop and demonstrate the capabilities, and which are applied through the </w:t>
      </w:r>
      <w:r>
        <w:rPr>
          <w:rFonts w:eastAsia="Times New Roman"/>
          <w:lang w:bidi="ar-SA"/>
        </w:rPr>
        <w:t>HEE’s</w:t>
      </w:r>
      <w:r w:rsidRPr="003C6896">
        <w:rPr>
          <w:rFonts w:eastAsia="Times New Roman"/>
          <w:lang w:bidi="ar-SA"/>
        </w:rPr>
        <w:t xml:space="preserve"> quality assurance processes</w:t>
      </w:r>
    </w:p>
    <w:p w14:paraId="3EA93852" w14:textId="27A3F9FC"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Statutory regulation </w:t>
      </w:r>
      <w:r w:rsidRPr="003C6896">
        <w:rPr>
          <w:rFonts w:eastAsia="Times New Roman"/>
          <w:lang w:bidi="ar-SA"/>
        </w:rPr>
        <w:t>– the arrangements to which individual health and care professions are subject as a condition of practising in the UK and to which compliance is required as a threshold requirement for seeking and maintaining recognition</w:t>
      </w:r>
    </w:p>
    <w:p w14:paraId="7CE279D4" w14:textId="1F2CA0E9"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Syllabus</w:t>
      </w:r>
      <w:r w:rsidRPr="003C6896">
        <w:rPr>
          <w:rFonts w:eastAsia="Times New Roman"/>
          <w:lang w:bidi="ar-SA"/>
        </w:rPr>
        <w:t> </w:t>
      </w:r>
      <w:r>
        <w:rPr>
          <w:rFonts w:eastAsia="Times New Roman"/>
          <w:lang w:bidi="ar-SA"/>
        </w:rPr>
        <w:t>-</w:t>
      </w:r>
      <w:r w:rsidRPr="003C6896">
        <w:rPr>
          <w:rFonts w:eastAsia="Times New Roman"/>
          <w:lang w:bidi="ar-SA"/>
        </w:rPr>
        <w:t xml:space="preserve"> The detailed indication of the content of a specific programme of learning that underpins its curriculum and that is subject to regular review and updating, in light of developments in practice, service delivery and the evidence base</w:t>
      </w:r>
    </w:p>
    <w:p w14:paraId="1768A444" w14:textId="77777777"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Systems regulation</w:t>
      </w:r>
      <w:r w:rsidRPr="003C6896">
        <w:rPr>
          <w:rFonts w:eastAsia="Times New Roman"/>
          <w:lang w:bidi="ar-SA"/>
        </w:rPr>
        <w:t> – the arrangements through which health and care service providers are subject to scrutiny and within which requirements sit for ensuring staff are competent and supported to fulfil their employed role</w:t>
      </w:r>
    </w:p>
    <w:p w14:paraId="24728E0F" w14:textId="6FD9F143"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Third</w:t>
      </w:r>
      <w:r>
        <w:rPr>
          <w:rFonts w:eastAsia="Times New Roman"/>
          <w:b/>
          <w:bCs/>
          <w:lang w:bidi="ar-SA"/>
        </w:rPr>
        <w:t>-</w:t>
      </w:r>
      <w:r w:rsidRPr="003C6896">
        <w:rPr>
          <w:rFonts w:eastAsia="Times New Roman"/>
          <w:b/>
          <w:bCs/>
          <w:lang w:bidi="ar-SA"/>
        </w:rPr>
        <w:t>party sign</w:t>
      </w:r>
      <w:r>
        <w:rPr>
          <w:rFonts w:eastAsia="Times New Roman"/>
          <w:b/>
          <w:bCs/>
          <w:lang w:bidi="ar-SA"/>
        </w:rPr>
        <w:t>-</w:t>
      </w:r>
      <w:r w:rsidRPr="003C6896">
        <w:rPr>
          <w:rFonts w:eastAsia="Times New Roman"/>
          <w:b/>
          <w:bCs/>
          <w:lang w:bidi="ar-SA"/>
        </w:rPr>
        <w:t>off</w:t>
      </w:r>
      <w:r w:rsidRPr="003C6896">
        <w:rPr>
          <w:rFonts w:eastAsia="Times New Roman"/>
          <w:lang w:bidi="ar-SA"/>
        </w:rPr>
        <w:t xml:space="preserve"> – the process through which individual practitioners preparing an evidence profile for submission via the </w:t>
      </w:r>
      <w:r>
        <w:rPr>
          <w:rFonts w:eastAsia="Times New Roman"/>
          <w:lang w:bidi="ar-SA"/>
        </w:rPr>
        <w:t>Portfolio</w:t>
      </w:r>
      <w:r w:rsidRPr="003C6896">
        <w:rPr>
          <w:rFonts w:eastAsia="Times New Roman"/>
          <w:lang w:bidi="ar-SA"/>
        </w:rPr>
        <w:t xml:space="preserve"> route are required to secure confirmation that elements of their profile and their profile as a whole are valid, authentic and current from an individual who has both the expertise to make this judgement and can be appropriately objective</w:t>
      </w:r>
    </w:p>
    <w:p w14:paraId="59C0A89E" w14:textId="1CDF9424" w:rsidR="00961868" w:rsidRPr="003C6896" w:rsidRDefault="00961868" w:rsidP="003C6896">
      <w:pPr>
        <w:widowControl/>
        <w:autoSpaceDE/>
        <w:autoSpaceDN/>
        <w:rPr>
          <w:rFonts w:ascii="Calibri" w:eastAsia="Times New Roman" w:hAnsi="Calibri" w:cs="Calibri"/>
          <w:lang w:bidi="ar-SA"/>
        </w:rPr>
      </w:pPr>
      <w:r w:rsidRPr="003C6896">
        <w:rPr>
          <w:rFonts w:eastAsia="Times New Roman"/>
          <w:b/>
          <w:bCs/>
          <w:lang w:bidi="ar-SA"/>
        </w:rPr>
        <w:t>Work</w:t>
      </w:r>
      <w:r>
        <w:rPr>
          <w:rFonts w:eastAsia="Times New Roman"/>
          <w:b/>
          <w:bCs/>
          <w:lang w:bidi="ar-SA"/>
        </w:rPr>
        <w:t>-</w:t>
      </w:r>
      <w:r w:rsidRPr="003C6896">
        <w:rPr>
          <w:rFonts w:eastAsia="Times New Roman"/>
          <w:b/>
          <w:bCs/>
          <w:lang w:bidi="ar-SA"/>
        </w:rPr>
        <w:t>based learning </w:t>
      </w:r>
      <w:r>
        <w:rPr>
          <w:rFonts w:eastAsia="Times New Roman"/>
          <w:lang w:bidi="ar-SA"/>
        </w:rPr>
        <w:t>-</w:t>
      </w:r>
      <w:r w:rsidRPr="003C6896">
        <w:rPr>
          <w:rFonts w:eastAsia="Times New Roman"/>
          <w:lang w:bidi="ar-SA"/>
        </w:rPr>
        <w:t xml:space="preserve"> Learning activity undertaken by practitioners either in their usual work</w:t>
      </w:r>
      <w:r>
        <w:rPr>
          <w:rFonts w:eastAsia="Times New Roman"/>
          <w:lang w:bidi="ar-SA"/>
        </w:rPr>
        <w:t>-</w:t>
      </w:r>
      <w:r w:rsidRPr="003C6896">
        <w:rPr>
          <w:rFonts w:eastAsia="Times New Roman"/>
          <w:lang w:bidi="ar-SA"/>
        </w:rPr>
        <w:t>setting or on a placement away from their workplace that is focused on developing their fulfilment of the A</w:t>
      </w:r>
      <w:r>
        <w:rPr>
          <w:rFonts w:eastAsia="Times New Roman"/>
          <w:lang w:bidi="ar-SA"/>
        </w:rPr>
        <w:t>dvancing Practice -</w:t>
      </w:r>
      <w:r w:rsidRPr="003C6896">
        <w:rPr>
          <w:rFonts w:eastAsia="Times New Roman"/>
          <w:lang w:bidi="ar-SA"/>
        </w:rPr>
        <w:t xml:space="preserve"> or Consultant</w:t>
      </w:r>
      <w:r>
        <w:rPr>
          <w:rFonts w:eastAsia="Times New Roman"/>
          <w:lang w:bidi="ar-SA"/>
        </w:rPr>
        <w:t>-</w:t>
      </w:r>
      <w:r w:rsidRPr="003C6896">
        <w:rPr>
          <w:rFonts w:eastAsia="Times New Roman"/>
          <w:lang w:bidi="ar-SA"/>
        </w:rPr>
        <w:t>level capabilities, and that is underpinned by appropriate supervision to uphold patient safety, comply with governance arrangements, and optimise the quality of the learning experience. </w:t>
      </w:r>
    </w:p>
    <w:p w14:paraId="5DA721A8" w14:textId="77777777" w:rsidR="00961868" w:rsidRDefault="0096186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18890"/>
      <w:docPartObj>
        <w:docPartGallery w:val="Page Numbers (Bottom of Page)"/>
        <w:docPartUnique/>
      </w:docPartObj>
    </w:sdtPr>
    <w:sdtEndPr/>
    <w:sdtContent>
      <w:sdt>
        <w:sdtPr>
          <w:id w:val="1728636285"/>
          <w:docPartObj>
            <w:docPartGallery w:val="Page Numbers (Top of Page)"/>
            <w:docPartUnique/>
          </w:docPartObj>
        </w:sdtPr>
        <w:sdtEndPr/>
        <w:sdtContent>
          <w:p w14:paraId="7A02C776" w14:textId="1E59C6DA" w:rsidR="00961868" w:rsidRDefault="00961868" w:rsidP="009A75AA">
            <w:pPr>
              <w:pStyle w:val="Footer"/>
              <w:spacing w:before="480"/>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1395A">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95A">
              <w:rPr>
                <w:b/>
                <w:bCs/>
                <w:noProof/>
              </w:rPr>
              <w:t>19</w:t>
            </w:r>
            <w:r>
              <w:rPr>
                <w:b/>
                <w:bCs/>
                <w:sz w:val="24"/>
                <w:szCs w:val="24"/>
              </w:rPr>
              <w:fldChar w:fldCharType="end"/>
            </w:r>
            <w:r>
              <w:rPr>
                <w:b/>
                <w:bCs/>
                <w:sz w:val="24"/>
                <w:szCs w:val="24"/>
              </w:rPr>
              <w:t xml:space="preserve">    </w:t>
            </w:r>
          </w:p>
          <w:bookmarkStart w:id="1" w:name="_Hlk8914556"/>
          <w:p w14:paraId="1A4651B5" w14:textId="0695F211" w:rsidR="00961868" w:rsidRPr="009A75AA" w:rsidRDefault="00961868" w:rsidP="009A75AA">
            <w:pPr>
              <w:pStyle w:val="Footer"/>
            </w:pPr>
            <w:r w:rsidRPr="00676165">
              <w:rPr>
                <w:bCs/>
                <w:sz w:val="20"/>
                <w:szCs w:val="20"/>
              </w:rPr>
              <w:fldChar w:fldCharType="begin"/>
            </w:r>
            <w:r w:rsidRPr="00676165">
              <w:rPr>
                <w:bCs/>
                <w:sz w:val="20"/>
                <w:szCs w:val="20"/>
              </w:rPr>
              <w:instrText xml:space="preserve"> FILENAME   \* MERGEFORMAT </w:instrText>
            </w:r>
            <w:r w:rsidRPr="00676165">
              <w:rPr>
                <w:bCs/>
                <w:sz w:val="20"/>
                <w:szCs w:val="20"/>
              </w:rPr>
              <w:fldChar w:fldCharType="separate"/>
            </w:r>
            <w:r>
              <w:rPr>
                <w:bCs/>
                <w:noProof/>
                <w:sz w:val="20"/>
                <w:szCs w:val="20"/>
              </w:rPr>
              <w:t xml:space="preserve">June 2020 SET existing programmes </w:t>
            </w:r>
            <w:r w:rsidRPr="00676165">
              <w:rPr>
                <w:bCs/>
                <w:sz w:val="20"/>
                <w:szCs w:val="20"/>
              </w:rPr>
              <w:fldChar w:fldCharType="end"/>
            </w:r>
            <w:bookmarkEnd w:id="1"/>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97636"/>
      <w:docPartObj>
        <w:docPartGallery w:val="Page Numbers (Top of Page)"/>
        <w:docPartUnique/>
      </w:docPartObj>
    </w:sdtPr>
    <w:sdtEndPr/>
    <w:sdtContent>
      <w:p w14:paraId="3F251DF8" w14:textId="77777777" w:rsidR="00961868" w:rsidRDefault="00961868" w:rsidP="009A75AA">
        <w:pPr>
          <w:pStyle w:val="Footer"/>
          <w:spacing w:before="360"/>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2139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395A">
          <w:rPr>
            <w:b/>
            <w:bCs/>
            <w:noProof/>
          </w:rPr>
          <w:t>19</w:t>
        </w:r>
        <w:r>
          <w:rPr>
            <w:b/>
            <w:bCs/>
            <w:sz w:val="24"/>
            <w:szCs w:val="24"/>
          </w:rPr>
          <w:fldChar w:fldCharType="end"/>
        </w:r>
        <w:r>
          <w:rPr>
            <w:b/>
            <w:bCs/>
            <w:sz w:val="24"/>
            <w:szCs w:val="24"/>
          </w:rPr>
          <w:t xml:space="preserve">    </w:t>
        </w:r>
      </w:p>
      <w:p w14:paraId="3932D6F8" w14:textId="003ADFA3" w:rsidR="00961868" w:rsidRDefault="00961868">
        <w:pPr>
          <w:pStyle w:val="Footer"/>
        </w:pPr>
        <w:r w:rsidRPr="00676165">
          <w:rPr>
            <w:bCs/>
            <w:sz w:val="20"/>
            <w:szCs w:val="20"/>
          </w:rPr>
          <w:fldChar w:fldCharType="begin"/>
        </w:r>
        <w:r w:rsidRPr="00676165">
          <w:rPr>
            <w:bCs/>
            <w:sz w:val="20"/>
            <w:szCs w:val="20"/>
          </w:rPr>
          <w:instrText xml:space="preserve"> FILENAME   \* MERGEFORMAT </w:instrText>
        </w:r>
        <w:r w:rsidRPr="00676165">
          <w:rPr>
            <w:bCs/>
            <w:sz w:val="20"/>
            <w:szCs w:val="20"/>
          </w:rPr>
          <w:fldChar w:fldCharType="separate"/>
        </w:r>
        <w:r>
          <w:rPr>
            <w:bCs/>
            <w:noProof/>
            <w:sz w:val="20"/>
            <w:szCs w:val="20"/>
          </w:rPr>
          <w:t>June 2020 SETexisting provision</w:t>
        </w:r>
        <w:r w:rsidRPr="00676165">
          <w:rPr>
            <w:bCs/>
            <w:sz w:val="20"/>
            <w:szCs w:val="20"/>
          </w:rPr>
          <w:fldChar w:fldCharType="end"/>
        </w:r>
        <w:r>
          <w:rPr>
            <w:b/>
            <w:bCs/>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891CC" w14:textId="77777777" w:rsidR="00FF144C" w:rsidRDefault="00FF144C">
      <w:r>
        <w:separator/>
      </w:r>
    </w:p>
  </w:footnote>
  <w:footnote w:type="continuationSeparator" w:id="0">
    <w:p w14:paraId="36C88302" w14:textId="77777777" w:rsidR="00FF144C" w:rsidRDefault="00FF144C">
      <w:r>
        <w:continuationSeparator/>
      </w:r>
    </w:p>
  </w:footnote>
  <w:footnote w:type="continuationNotice" w:id="1">
    <w:p w14:paraId="2B379AE9" w14:textId="77777777" w:rsidR="00FF144C" w:rsidRDefault="00FF14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1BA04" w14:textId="38709231" w:rsidR="00961868" w:rsidRDefault="00FF144C">
    <w:pPr>
      <w:pStyle w:val="Header"/>
    </w:pPr>
    <w:r>
      <w:rPr>
        <w:noProof/>
      </w:rPr>
      <w:pict w14:anchorId="0F573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86.95pt;height:106.7pt;rotation:315;z-index:-251658239;mso-wrap-edited:f;mso-position-horizontal:center;mso-position-horizontal-relative:margin;mso-position-vertical:center;mso-position-vertical-relative:margin" o:allowincell="f" fillcolor="silver" stroked="f">
          <v:fill opacity=".5"/>
          <v:textpath style="font-family:&quot;Arial&quot;;font-size:1pt" string="Version 12.1"/>
          <w10:wrap anchorx="margin" anchory="margin"/>
        </v:shape>
      </w:pict>
    </w:r>
    <w:r>
      <w:rPr>
        <w:noProof/>
      </w:rPr>
      <w:pict w14:anchorId="0E9EDB77">
        <v:shape id="_x0000_s2051" type="#_x0000_t136" style="position:absolute;margin-left:0;margin-top:0;width:567.5pt;height:126.1pt;rotation:315;z-index:-251658240;mso-wrap-edited:f;mso-position-horizontal:center;mso-position-horizontal-relative:margin;mso-position-vertical:center;mso-position-vertical-relative:margin" o:allowincell="f" fillcolor="silver" stroked="f">
          <v:fill opacity=".5"/>
          <v:textpath style="font-family:&quot;Arial&quot;;font-size:1pt" string="Version 1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103DF" w14:textId="6B8F8E75" w:rsidR="00961868" w:rsidRDefault="00961868">
    <w:pPr>
      <w:pStyle w:val="BodyText"/>
      <w:spacing w:line="14" w:lineRule="auto"/>
      <w:rPr>
        <w:sz w:val="20"/>
      </w:rPr>
    </w:pPr>
    <w:r>
      <w:rPr>
        <w:b/>
        <w:bCs/>
        <w:color w:val="003892"/>
      </w:rPr>
      <w:t xml:space="preserve">Standards for Education and Training for existing Advanced Practice Programmes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CDC6" w14:textId="7C5087A4" w:rsidR="00961868" w:rsidRDefault="00961868" w:rsidP="000D154F">
    <w:pPr>
      <w:pStyle w:val="Header"/>
      <w:tabs>
        <w:tab w:val="clear" w:pos="4513"/>
        <w:tab w:val="clear" w:pos="9026"/>
        <w:tab w:val="left" w:pos="3810"/>
      </w:tabs>
      <w:jc w:val="right"/>
    </w:pPr>
    <w:r>
      <w:rPr>
        <w:noProof/>
        <w:lang w:bidi="ar-SA"/>
      </w:rPr>
      <w:drawing>
        <wp:anchor distT="0" distB="0" distL="114300" distR="114300" simplePos="0" relativeHeight="251658245" behindDoc="0" locked="0" layoutInCell="1" allowOverlap="1" wp14:anchorId="4E3F6A11" wp14:editId="0C9F459A">
          <wp:simplePos x="0" y="0"/>
          <wp:positionH relativeFrom="column">
            <wp:posOffset>3822970</wp:posOffset>
          </wp:positionH>
          <wp:positionV relativeFrom="paragraph">
            <wp:posOffset>-97276</wp:posOffset>
          </wp:positionV>
          <wp:extent cx="2700000" cy="528750"/>
          <wp:effectExtent l="0" t="0" r="0"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5287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51D3"/>
    <w:multiLevelType w:val="hybridMultilevel"/>
    <w:tmpl w:val="9BD47B2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 w15:restartNumberingAfterBreak="0">
    <w:nsid w:val="1386279B"/>
    <w:multiLevelType w:val="multilevel"/>
    <w:tmpl w:val="80B87606"/>
    <w:lvl w:ilvl="0">
      <w:start w:val="2"/>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284" w:hanging="435"/>
      </w:pPr>
      <w:rPr>
        <w:rFonts w:ascii="Symbol" w:eastAsia="Symbol" w:hAnsi="Symbol" w:cs="Symbol" w:hint="default"/>
        <w:w w:val="100"/>
        <w:sz w:val="24"/>
        <w:szCs w:val="24"/>
        <w:lang w:val="en-GB" w:eastAsia="en-GB" w:bidi="en-GB"/>
      </w:rPr>
    </w:lvl>
    <w:lvl w:ilvl="3">
      <w:numFmt w:val="bullet"/>
      <w:lvlText w:val="•"/>
      <w:lvlJc w:val="left"/>
      <w:pPr>
        <w:ind w:left="1280" w:hanging="435"/>
      </w:pPr>
      <w:rPr>
        <w:rFonts w:hint="default"/>
        <w:lang w:val="en-GB" w:eastAsia="en-GB" w:bidi="en-GB"/>
      </w:rPr>
    </w:lvl>
    <w:lvl w:ilvl="4">
      <w:numFmt w:val="bullet"/>
      <w:lvlText w:val="•"/>
      <w:lvlJc w:val="left"/>
      <w:pPr>
        <w:ind w:left="2502" w:hanging="435"/>
      </w:pPr>
      <w:rPr>
        <w:rFonts w:hint="default"/>
        <w:lang w:val="en-GB" w:eastAsia="en-GB" w:bidi="en-GB"/>
      </w:rPr>
    </w:lvl>
    <w:lvl w:ilvl="5">
      <w:numFmt w:val="bullet"/>
      <w:lvlText w:val="•"/>
      <w:lvlJc w:val="left"/>
      <w:pPr>
        <w:ind w:left="3725" w:hanging="435"/>
      </w:pPr>
      <w:rPr>
        <w:rFonts w:hint="default"/>
        <w:lang w:val="en-GB" w:eastAsia="en-GB" w:bidi="en-GB"/>
      </w:rPr>
    </w:lvl>
    <w:lvl w:ilvl="6">
      <w:numFmt w:val="bullet"/>
      <w:lvlText w:val="•"/>
      <w:lvlJc w:val="left"/>
      <w:pPr>
        <w:ind w:left="4948" w:hanging="435"/>
      </w:pPr>
      <w:rPr>
        <w:rFonts w:hint="default"/>
        <w:lang w:val="en-GB" w:eastAsia="en-GB" w:bidi="en-GB"/>
      </w:rPr>
    </w:lvl>
    <w:lvl w:ilvl="7">
      <w:numFmt w:val="bullet"/>
      <w:lvlText w:val="•"/>
      <w:lvlJc w:val="left"/>
      <w:pPr>
        <w:ind w:left="6170" w:hanging="435"/>
      </w:pPr>
      <w:rPr>
        <w:rFonts w:hint="default"/>
        <w:lang w:val="en-GB" w:eastAsia="en-GB" w:bidi="en-GB"/>
      </w:rPr>
    </w:lvl>
    <w:lvl w:ilvl="8">
      <w:numFmt w:val="bullet"/>
      <w:lvlText w:val="•"/>
      <w:lvlJc w:val="left"/>
      <w:pPr>
        <w:ind w:left="7393" w:hanging="435"/>
      </w:pPr>
      <w:rPr>
        <w:rFonts w:hint="default"/>
        <w:lang w:val="en-GB" w:eastAsia="en-GB" w:bidi="en-GB"/>
      </w:rPr>
    </w:lvl>
  </w:abstractNum>
  <w:abstractNum w:abstractNumId="2" w15:restartNumberingAfterBreak="0">
    <w:nsid w:val="17C9353A"/>
    <w:multiLevelType w:val="hybridMultilevel"/>
    <w:tmpl w:val="629091DE"/>
    <w:lvl w:ilvl="0" w:tplc="5BA8DA08">
      <w:start w:val="1"/>
      <w:numFmt w:val="decimal"/>
      <w:lvlText w:val="%1."/>
      <w:lvlJc w:val="left"/>
      <w:pPr>
        <w:ind w:left="833" w:hanging="360"/>
      </w:pPr>
      <w:rPr>
        <w:rFonts w:ascii="Arial" w:eastAsia="Arial" w:hAnsi="Arial" w:cs="Arial" w:hint="default"/>
        <w:spacing w:val="-3"/>
        <w:w w:val="99"/>
        <w:sz w:val="24"/>
        <w:szCs w:val="24"/>
        <w:lang w:val="en-GB" w:eastAsia="en-GB" w:bidi="en-GB"/>
      </w:rPr>
    </w:lvl>
    <w:lvl w:ilvl="1" w:tplc="F248418C">
      <w:numFmt w:val="bullet"/>
      <w:lvlText w:val=""/>
      <w:lvlJc w:val="left"/>
      <w:pPr>
        <w:ind w:left="1538" w:hanging="360"/>
      </w:pPr>
      <w:rPr>
        <w:rFonts w:ascii="Symbol" w:eastAsia="Symbol" w:hAnsi="Symbol" w:cs="Symbol" w:hint="default"/>
        <w:w w:val="100"/>
        <w:sz w:val="24"/>
        <w:szCs w:val="24"/>
        <w:lang w:val="en-GB" w:eastAsia="en-GB" w:bidi="en-GB"/>
      </w:rPr>
    </w:lvl>
    <w:lvl w:ilvl="2" w:tplc="02364C26">
      <w:numFmt w:val="bullet"/>
      <w:lvlText w:val="•"/>
      <w:lvlJc w:val="left"/>
      <w:pPr>
        <w:ind w:left="2462" w:hanging="360"/>
      </w:pPr>
      <w:rPr>
        <w:rFonts w:hint="default"/>
        <w:lang w:val="en-GB" w:eastAsia="en-GB" w:bidi="en-GB"/>
      </w:rPr>
    </w:lvl>
    <w:lvl w:ilvl="3" w:tplc="D9927796">
      <w:numFmt w:val="bullet"/>
      <w:lvlText w:val="•"/>
      <w:lvlJc w:val="left"/>
      <w:pPr>
        <w:ind w:left="3384" w:hanging="360"/>
      </w:pPr>
      <w:rPr>
        <w:rFonts w:hint="default"/>
        <w:lang w:val="en-GB" w:eastAsia="en-GB" w:bidi="en-GB"/>
      </w:rPr>
    </w:lvl>
    <w:lvl w:ilvl="4" w:tplc="4A200126">
      <w:numFmt w:val="bullet"/>
      <w:lvlText w:val="•"/>
      <w:lvlJc w:val="left"/>
      <w:pPr>
        <w:ind w:left="4306" w:hanging="360"/>
      </w:pPr>
      <w:rPr>
        <w:rFonts w:hint="default"/>
        <w:lang w:val="en-GB" w:eastAsia="en-GB" w:bidi="en-GB"/>
      </w:rPr>
    </w:lvl>
    <w:lvl w:ilvl="5" w:tplc="8A880BD6">
      <w:numFmt w:val="bullet"/>
      <w:lvlText w:val="•"/>
      <w:lvlJc w:val="left"/>
      <w:pPr>
        <w:ind w:left="5228" w:hanging="360"/>
      </w:pPr>
      <w:rPr>
        <w:rFonts w:hint="default"/>
        <w:lang w:val="en-GB" w:eastAsia="en-GB" w:bidi="en-GB"/>
      </w:rPr>
    </w:lvl>
    <w:lvl w:ilvl="6" w:tplc="8EFE458C">
      <w:numFmt w:val="bullet"/>
      <w:lvlText w:val="•"/>
      <w:lvlJc w:val="left"/>
      <w:pPr>
        <w:ind w:left="6150" w:hanging="360"/>
      </w:pPr>
      <w:rPr>
        <w:rFonts w:hint="default"/>
        <w:lang w:val="en-GB" w:eastAsia="en-GB" w:bidi="en-GB"/>
      </w:rPr>
    </w:lvl>
    <w:lvl w:ilvl="7" w:tplc="6C8CD122">
      <w:numFmt w:val="bullet"/>
      <w:lvlText w:val="•"/>
      <w:lvlJc w:val="left"/>
      <w:pPr>
        <w:ind w:left="7072" w:hanging="360"/>
      </w:pPr>
      <w:rPr>
        <w:rFonts w:hint="default"/>
        <w:lang w:val="en-GB" w:eastAsia="en-GB" w:bidi="en-GB"/>
      </w:rPr>
    </w:lvl>
    <w:lvl w:ilvl="8" w:tplc="B4F6BDDA">
      <w:numFmt w:val="bullet"/>
      <w:lvlText w:val="•"/>
      <w:lvlJc w:val="left"/>
      <w:pPr>
        <w:ind w:left="7994" w:hanging="360"/>
      </w:pPr>
      <w:rPr>
        <w:rFonts w:hint="default"/>
        <w:lang w:val="en-GB" w:eastAsia="en-GB" w:bidi="en-GB"/>
      </w:rPr>
    </w:lvl>
  </w:abstractNum>
  <w:abstractNum w:abstractNumId="3" w15:restartNumberingAfterBreak="0">
    <w:nsid w:val="1F966D3F"/>
    <w:multiLevelType w:val="multilevel"/>
    <w:tmpl w:val="3BCC725C"/>
    <w:lvl w:ilvl="0">
      <w:start w:val="7"/>
      <w:numFmt w:val="decimal"/>
      <w:lvlText w:val="%1"/>
      <w:lvlJc w:val="left"/>
      <w:pPr>
        <w:ind w:left="112" w:hanging="402"/>
      </w:pPr>
      <w:rPr>
        <w:rFonts w:hint="default"/>
        <w:lang w:val="en-GB" w:eastAsia="en-GB" w:bidi="en-GB"/>
      </w:rPr>
    </w:lvl>
    <w:lvl w:ilvl="1">
      <w:start w:val="1"/>
      <w:numFmt w:val="decimal"/>
      <w:lvlText w:val="%1.%2"/>
      <w:lvlJc w:val="left"/>
      <w:pPr>
        <w:ind w:left="112" w:hanging="402"/>
      </w:pPr>
      <w:rPr>
        <w:rFonts w:ascii="Arial" w:eastAsia="Arial" w:hAnsi="Arial" w:cs="Arial" w:hint="default"/>
        <w:spacing w:val="-4"/>
        <w:w w:val="99"/>
        <w:sz w:val="24"/>
        <w:szCs w:val="24"/>
        <w:lang w:val="en-GB" w:eastAsia="en-GB" w:bidi="en-GB"/>
      </w:rPr>
    </w:lvl>
    <w:lvl w:ilvl="2">
      <w:numFmt w:val="bullet"/>
      <w:lvlText w:val=""/>
      <w:lvlJc w:val="left"/>
      <w:pPr>
        <w:ind w:left="833" w:hanging="360"/>
      </w:pPr>
      <w:rPr>
        <w:rFonts w:ascii="Symbol" w:eastAsia="Symbol" w:hAnsi="Symbol" w:cs="Symbol" w:hint="default"/>
        <w:w w:val="100"/>
        <w:sz w:val="24"/>
        <w:szCs w:val="24"/>
        <w:lang w:val="en-GB" w:eastAsia="en-GB" w:bidi="en-GB"/>
      </w:rPr>
    </w:lvl>
    <w:lvl w:ilvl="3">
      <w:numFmt w:val="bullet"/>
      <w:lvlText w:val="•"/>
      <w:lvlJc w:val="left"/>
      <w:pPr>
        <w:ind w:left="2437" w:hanging="360"/>
      </w:pPr>
      <w:rPr>
        <w:rFonts w:hint="default"/>
        <w:lang w:val="en-GB" w:eastAsia="en-GB" w:bidi="en-GB"/>
      </w:rPr>
    </w:lvl>
    <w:lvl w:ilvl="4">
      <w:numFmt w:val="bullet"/>
      <w:lvlText w:val="•"/>
      <w:lvlJc w:val="left"/>
      <w:pPr>
        <w:ind w:left="3494" w:hanging="360"/>
      </w:pPr>
      <w:rPr>
        <w:rFonts w:hint="default"/>
        <w:lang w:val="en-GB" w:eastAsia="en-GB" w:bidi="en-GB"/>
      </w:rPr>
    </w:lvl>
    <w:lvl w:ilvl="5">
      <w:numFmt w:val="bullet"/>
      <w:lvlText w:val="•"/>
      <w:lvlJc w:val="left"/>
      <w:pPr>
        <w:ind w:left="4552" w:hanging="360"/>
      </w:pPr>
      <w:rPr>
        <w:rFonts w:hint="default"/>
        <w:lang w:val="en-GB" w:eastAsia="en-GB" w:bidi="en-GB"/>
      </w:rPr>
    </w:lvl>
    <w:lvl w:ilvl="6">
      <w:numFmt w:val="bullet"/>
      <w:lvlText w:val="•"/>
      <w:lvlJc w:val="left"/>
      <w:pPr>
        <w:ind w:left="5609" w:hanging="360"/>
      </w:pPr>
      <w:rPr>
        <w:rFonts w:hint="default"/>
        <w:lang w:val="en-GB" w:eastAsia="en-GB" w:bidi="en-GB"/>
      </w:rPr>
    </w:lvl>
    <w:lvl w:ilvl="7">
      <w:numFmt w:val="bullet"/>
      <w:lvlText w:val="•"/>
      <w:lvlJc w:val="left"/>
      <w:pPr>
        <w:ind w:left="6667" w:hanging="360"/>
      </w:pPr>
      <w:rPr>
        <w:rFonts w:hint="default"/>
        <w:lang w:val="en-GB" w:eastAsia="en-GB" w:bidi="en-GB"/>
      </w:rPr>
    </w:lvl>
    <w:lvl w:ilvl="8">
      <w:numFmt w:val="bullet"/>
      <w:lvlText w:val="•"/>
      <w:lvlJc w:val="left"/>
      <w:pPr>
        <w:ind w:left="7724" w:hanging="360"/>
      </w:pPr>
      <w:rPr>
        <w:rFonts w:hint="default"/>
        <w:lang w:val="en-GB" w:eastAsia="en-GB" w:bidi="en-GB"/>
      </w:rPr>
    </w:lvl>
  </w:abstractNum>
  <w:abstractNum w:abstractNumId="4" w15:restartNumberingAfterBreak="0">
    <w:nsid w:val="225F47E7"/>
    <w:multiLevelType w:val="hybridMultilevel"/>
    <w:tmpl w:val="6390F7D6"/>
    <w:lvl w:ilvl="0" w:tplc="5C4094E2">
      <w:start w:val="1"/>
      <w:numFmt w:val="decimal"/>
      <w:lvlText w:val="%1"/>
      <w:lvlJc w:val="left"/>
      <w:pPr>
        <w:ind w:left="247" w:hanging="135"/>
      </w:pPr>
      <w:rPr>
        <w:rFonts w:ascii="Arial" w:eastAsia="Arial" w:hAnsi="Arial" w:cs="Arial" w:hint="default"/>
        <w:w w:val="100"/>
        <w:position w:val="8"/>
        <w:sz w:val="16"/>
        <w:szCs w:val="16"/>
        <w:lang w:val="en-GB" w:eastAsia="en-GB" w:bidi="en-GB"/>
      </w:rPr>
    </w:lvl>
    <w:lvl w:ilvl="1" w:tplc="3924AA02">
      <w:numFmt w:val="bullet"/>
      <w:lvlText w:val="•"/>
      <w:lvlJc w:val="left"/>
      <w:pPr>
        <w:ind w:left="1199" w:hanging="135"/>
      </w:pPr>
      <w:rPr>
        <w:rFonts w:hint="default"/>
        <w:lang w:val="en-GB" w:eastAsia="en-GB" w:bidi="en-GB"/>
      </w:rPr>
    </w:lvl>
    <w:lvl w:ilvl="2" w:tplc="BD0C2B22">
      <w:numFmt w:val="bullet"/>
      <w:lvlText w:val="•"/>
      <w:lvlJc w:val="left"/>
      <w:pPr>
        <w:ind w:left="2159" w:hanging="135"/>
      </w:pPr>
      <w:rPr>
        <w:rFonts w:hint="default"/>
        <w:lang w:val="en-GB" w:eastAsia="en-GB" w:bidi="en-GB"/>
      </w:rPr>
    </w:lvl>
    <w:lvl w:ilvl="3" w:tplc="3A287A2C">
      <w:numFmt w:val="bullet"/>
      <w:lvlText w:val="•"/>
      <w:lvlJc w:val="left"/>
      <w:pPr>
        <w:ind w:left="3119" w:hanging="135"/>
      </w:pPr>
      <w:rPr>
        <w:rFonts w:hint="default"/>
        <w:lang w:val="en-GB" w:eastAsia="en-GB" w:bidi="en-GB"/>
      </w:rPr>
    </w:lvl>
    <w:lvl w:ilvl="4" w:tplc="8078EF56">
      <w:numFmt w:val="bullet"/>
      <w:lvlText w:val="•"/>
      <w:lvlJc w:val="left"/>
      <w:pPr>
        <w:ind w:left="4079" w:hanging="135"/>
      </w:pPr>
      <w:rPr>
        <w:rFonts w:hint="default"/>
        <w:lang w:val="en-GB" w:eastAsia="en-GB" w:bidi="en-GB"/>
      </w:rPr>
    </w:lvl>
    <w:lvl w:ilvl="5" w:tplc="38D4694E">
      <w:numFmt w:val="bullet"/>
      <w:lvlText w:val="•"/>
      <w:lvlJc w:val="left"/>
      <w:pPr>
        <w:ind w:left="5039" w:hanging="135"/>
      </w:pPr>
      <w:rPr>
        <w:rFonts w:hint="default"/>
        <w:lang w:val="en-GB" w:eastAsia="en-GB" w:bidi="en-GB"/>
      </w:rPr>
    </w:lvl>
    <w:lvl w:ilvl="6" w:tplc="449A246C">
      <w:numFmt w:val="bullet"/>
      <w:lvlText w:val="•"/>
      <w:lvlJc w:val="left"/>
      <w:pPr>
        <w:ind w:left="5999" w:hanging="135"/>
      </w:pPr>
      <w:rPr>
        <w:rFonts w:hint="default"/>
        <w:lang w:val="en-GB" w:eastAsia="en-GB" w:bidi="en-GB"/>
      </w:rPr>
    </w:lvl>
    <w:lvl w:ilvl="7" w:tplc="8DCE8C54">
      <w:numFmt w:val="bullet"/>
      <w:lvlText w:val="•"/>
      <w:lvlJc w:val="left"/>
      <w:pPr>
        <w:ind w:left="6959" w:hanging="135"/>
      </w:pPr>
      <w:rPr>
        <w:rFonts w:hint="default"/>
        <w:lang w:val="en-GB" w:eastAsia="en-GB" w:bidi="en-GB"/>
      </w:rPr>
    </w:lvl>
    <w:lvl w:ilvl="8" w:tplc="19E4B0B2">
      <w:numFmt w:val="bullet"/>
      <w:lvlText w:val="•"/>
      <w:lvlJc w:val="left"/>
      <w:pPr>
        <w:ind w:left="7919" w:hanging="135"/>
      </w:pPr>
      <w:rPr>
        <w:rFonts w:hint="default"/>
        <w:lang w:val="en-GB" w:eastAsia="en-GB" w:bidi="en-GB"/>
      </w:rPr>
    </w:lvl>
  </w:abstractNum>
  <w:abstractNum w:abstractNumId="5" w15:restartNumberingAfterBreak="0">
    <w:nsid w:val="227F1F2D"/>
    <w:multiLevelType w:val="hybridMultilevel"/>
    <w:tmpl w:val="5C9C4980"/>
    <w:lvl w:ilvl="0" w:tplc="1E18EE12">
      <w:numFmt w:val="bullet"/>
      <w:lvlText w:val=""/>
      <w:lvlJc w:val="left"/>
      <w:pPr>
        <w:ind w:left="473" w:hanging="361"/>
      </w:pPr>
      <w:rPr>
        <w:rFonts w:ascii="Symbol" w:eastAsia="Symbol" w:hAnsi="Symbol" w:cs="Symbol" w:hint="default"/>
        <w:w w:val="100"/>
        <w:sz w:val="24"/>
        <w:szCs w:val="24"/>
        <w:lang w:val="en-GB" w:eastAsia="en-GB" w:bidi="en-GB"/>
      </w:rPr>
    </w:lvl>
    <w:lvl w:ilvl="1" w:tplc="E3EC5928">
      <w:numFmt w:val="bullet"/>
      <w:lvlText w:val="•"/>
      <w:lvlJc w:val="left"/>
      <w:pPr>
        <w:ind w:left="1415" w:hanging="361"/>
      </w:pPr>
      <w:rPr>
        <w:rFonts w:hint="default"/>
        <w:lang w:val="en-GB" w:eastAsia="en-GB" w:bidi="en-GB"/>
      </w:rPr>
    </w:lvl>
    <w:lvl w:ilvl="2" w:tplc="AFB68E10">
      <w:numFmt w:val="bullet"/>
      <w:lvlText w:val="•"/>
      <w:lvlJc w:val="left"/>
      <w:pPr>
        <w:ind w:left="2351" w:hanging="361"/>
      </w:pPr>
      <w:rPr>
        <w:rFonts w:hint="default"/>
        <w:lang w:val="en-GB" w:eastAsia="en-GB" w:bidi="en-GB"/>
      </w:rPr>
    </w:lvl>
    <w:lvl w:ilvl="3" w:tplc="6C14CB14">
      <w:numFmt w:val="bullet"/>
      <w:lvlText w:val="•"/>
      <w:lvlJc w:val="left"/>
      <w:pPr>
        <w:ind w:left="3287" w:hanging="361"/>
      </w:pPr>
      <w:rPr>
        <w:rFonts w:hint="default"/>
        <w:lang w:val="en-GB" w:eastAsia="en-GB" w:bidi="en-GB"/>
      </w:rPr>
    </w:lvl>
    <w:lvl w:ilvl="4" w:tplc="327ACDBC">
      <w:numFmt w:val="bullet"/>
      <w:lvlText w:val="•"/>
      <w:lvlJc w:val="left"/>
      <w:pPr>
        <w:ind w:left="4223" w:hanging="361"/>
      </w:pPr>
      <w:rPr>
        <w:rFonts w:hint="default"/>
        <w:lang w:val="en-GB" w:eastAsia="en-GB" w:bidi="en-GB"/>
      </w:rPr>
    </w:lvl>
    <w:lvl w:ilvl="5" w:tplc="309A0444">
      <w:numFmt w:val="bullet"/>
      <w:lvlText w:val="•"/>
      <w:lvlJc w:val="left"/>
      <w:pPr>
        <w:ind w:left="5159" w:hanging="361"/>
      </w:pPr>
      <w:rPr>
        <w:rFonts w:hint="default"/>
        <w:lang w:val="en-GB" w:eastAsia="en-GB" w:bidi="en-GB"/>
      </w:rPr>
    </w:lvl>
    <w:lvl w:ilvl="6" w:tplc="26A0174A">
      <w:numFmt w:val="bullet"/>
      <w:lvlText w:val="•"/>
      <w:lvlJc w:val="left"/>
      <w:pPr>
        <w:ind w:left="6095" w:hanging="361"/>
      </w:pPr>
      <w:rPr>
        <w:rFonts w:hint="default"/>
        <w:lang w:val="en-GB" w:eastAsia="en-GB" w:bidi="en-GB"/>
      </w:rPr>
    </w:lvl>
    <w:lvl w:ilvl="7" w:tplc="E2A0BE7C">
      <w:numFmt w:val="bullet"/>
      <w:lvlText w:val="•"/>
      <w:lvlJc w:val="left"/>
      <w:pPr>
        <w:ind w:left="7031" w:hanging="361"/>
      </w:pPr>
      <w:rPr>
        <w:rFonts w:hint="default"/>
        <w:lang w:val="en-GB" w:eastAsia="en-GB" w:bidi="en-GB"/>
      </w:rPr>
    </w:lvl>
    <w:lvl w:ilvl="8" w:tplc="4830AE24">
      <w:numFmt w:val="bullet"/>
      <w:lvlText w:val="•"/>
      <w:lvlJc w:val="left"/>
      <w:pPr>
        <w:ind w:left="7967" w:hanging="361"/>
      </w:pPr>
      <w:rPr>
        <w:rFonts w:hint="default"/>
        <w:lang w:val="en-GB" w:eastAsia="en-GB" w:bidi="en-GB"/>
      </w:rPr>
    </w:lvl>
  </w:abstractNum>
  <w:abstractNum w:abstractNumId="6" w15:restartNumberingAfterBreak="0">
    <w:nsid w:val="254E5514"/>
    <w:multiLevelType w:val="multilevel"/>
    <w:tmpl w:val="A99E97EE"/>
    <w:lvl w:ilvl="0">
      <w:start w:val="2"/>
      <w:numFmt w:val="decimal"/>
      <w:lvlText w:val="%1"/>
      <w:lvlJc w:val="left"/>
      <w:pPr>
        <w:ind w:left="582" w:hanging="470"/>
      </w:pPr>
      <w:rPr>
        <w:rFonts w:hint="default"/>
        <w:lang w:val="en-GB" w:eastAsia="en-GB" w:bidi="en-GB"/>
      </w:rPr>
    </w:lvl>
    <w:lvl w:ilvl="1">
      <w:start w:val="12"/>
      <w:numFmt w:val="decimal"/>
      <w:lvlText w:val="%1.%2"/>
      <w:lvlJc w:val="left"/>
      <w:pPr>
        <w:ind w:left="582" w:hanging="470"/>
      </w:pPr>
      <w:rPr>
        <w:rFonts w:ascii="Arial" w:eastAsia="Arial" w:hAnsi="Arial" w:cs="Arial" w:hint="default"/>
        <w:spacing w:val="-1"/>
        <w:w w:val="99"/>
        <w:sz w:val="22"/>
        <w:szCs w:val="22"/>
        <w:lang w:val="en-GB" w:eastAsia="en-GB" w:bidi="en-GB"/>
      </w:rPr>
    </w:lvl>
    <w:lvl w:ilvl="2">
      <w:numFmt w:val="bullet"/>
      <w:lvlText w:val=""/>
      <w:lvlJc w:val="left"/>
      <w:pPr>
        <w:ind w:left="1298" w:hanging="466"/>
      </w:pPr>
      <w:rPr>
        <w:rFonts w:ascii="Symbol" w:eastAsia="Symbol" w:hAnsi="Symbol" w:cs="Symbol" w:hint="default"/>
        <w:w w:val="100"/>
        <w:sz w:val="24"/>
        <w:szCs w:val="24"/>
        <w:lang w:val="en-GB" w:eastAsia="en-GB" w:bidi="en-GB"/>
      </w:rPr>
    </w:lvl>
    <w:lvl w:ilvl="3">
      <w:numFmt w:val="bullet"/>
      <w:lvlText w:val="•"/>
      <w:lvlJc w:val="left"/>
      <w:pPr>
        <w:ind w:left="3197" w:hanging="466"/>
      </w:pPr>
      <w:rPr>
        <w:rFonts w:hint="default"/>
        <w:lang w:val="en-GB" w:eastAsia="en-GB" w:bidi="en-GB"/>
      </w:rPr>
    </w:lvl>
    <w:lvl w:ilvl="4">
      <w:numFmt w:val="bullet"/>
      <w:lvlText w:val="•"/>
      <w:lvlJc w:val="left"/>
      <w:pPr>
        <w:ind w:left="4146" w:hanging="466"/>
      </w:pPr>
      <w:rPr>
        <w:rFonts w:hint="default"/>
        <w:lang w:val="en-GB" w:eastAsia="en-GB" w:bidi="en-GB"/>
      </w:rPr>
    </w:lvl>
    <w:lvl w:ilvl="5">
      <w:numFmt w:val="bullet"/>
      <w:lvlText w:val="•"/>
      <w:lvlJc w:val="left"/>
      <w:pPr>
        <w:ind w:left="5095" w:hanging="466"/>
      </w:pPr>
      <w:rPr>
        <w:rFonts w:hint="default"/>
        <w:lang w:val="en-GB" w:eastAsia="en-GB" w:bidi="en-GB"/>
      </w:rPr>
    </w:lvl>
    <w:lvl w:ilvl="6">
      <w:numFmt w:val="bullet"/>
      <w:lvlText w:val="•"/>
      <w:lvlJc w:val="left"/>
      <w:pPr>
        <w:ind w:left="6044" w:hanging="466"/>
      </w:pPr>
      <w:rPr>
        <w:rFonts w:hint="default"/>
        <w:lang w:val="en-GB" w:eastAsia="en-GB" w:bidi="en-GB"/>
      </w:rPr>
    </w:lvl>
    <w:lvl w:ilvl="7">
      <w:numFmt w:val="bullet"/>
      <w:lvlText w:val="•"/>
      <w:lvlJc w:val="left"/>
      <w:pPr>
        <w:ind w:left="6992" w:hanging="466"/>
      </w:pPr>
      <w:rPr>
        <w:rFonts w:hint="default"/>
        <w:lang w:val="en-GB" w:eastAsia="en-GB" w:bidi="en-GB"/>
      </w:rPr>
    </w:lvl>
    <w:lvl w:ilvl="8">
      <w:numFmt w:val="bullet"/>
      <w:lvlText w:val="•"/>
      <w:lvlJc w:val="left"/>
      <w:pPr>
        <w:ind w:left="7941" w:hanging="466"/>
      </w:pPr>
      <w:rPr>
        <w:rFonts w:hint="default"/>
        <w:lang w:val="en-GB" w:eastAsia="en-GB" w:bidi="en-GB"/>
      </w:rPr>
    </w:lvl>
  </w:abstractNum>
  <w:abstractNum w:abstractNumId="7" w15:restartNumberingAfterBreak="0">
    <w:nsid w:val="30B70FA7"/>
    <w:multiLevelType w:val="hybridMultilevel"/>
    <w:tmpl w:val="6898EF34"/>
    <w:lvl w:ilvl="0" w:tplc="31EED8CE">
      <w:start w:val="1"/>
      <w:numFmt w:val="upperLetter"/>
      <w:lvlText w:val="%1."/>
      <w:lvlJc w:val="left"/>
      <w:pPr>
        <w:ind w:left="473" w:hanging="361"/>
      </w:pPr>
      <w:rPr>
        <w:rFonts w:ascii="Arial" w:eastAsia="Arial" w:hAnsi="Arial" w:cs="Arial" w:hint="default"/>
        <w:w w:val="100"/>
        <w:sz w:val="24"/>
        <w:szCs w:val="24"/>
        <w:lang w:val="en-GB" w:eastAsia="en-GB" w:bidi="en-GB"/>
      </w:rPr>
    </w:lvl>
    <w:lvl w:ilvl="1" w:tplc="01C073C6">
      <w:numFmt w:val="bullet"/>
      <w:lvlText w:val="•"/>
      <w:lvlJc w:val="left"/>
      <w:pPr>
        <w:ind w:left="1415" w:hanging="361"/>
      </w:pPr>
      <w:rPr>
        <w:rFonts w:hint="default"/>
        <w:lang w:val="en-GB" w:eastAsia="en-GB" w:bidi="en-GB"/>
      </w:rPr>
    </w:lvl>
    <w:lvl w:ilvl="2" w:tplc="0CC89196">
      <w:numFmt w:val="bullet"/>
      <w:lvlText w:val="•"/>
      <w:lvlJc w:val="left"/>
      <w:pPr>
        <w:ind w:left="2351" w:hanging="361"/>
      </w:pPr>
      <w:rPr>
        <w:rFonts w:hint="default"/>
        <w:lang w:val="en-GB" w:eastAsia="en-GB" w:bidi="en-GB"/>
      </w:rPr>
    </w:lvl>
    <w:lvl w:ilvl="3" w:tplc="B39280A0">
      <w:numFmt w:val="bullet"/>
      <w:lvlText w:val="•"/>
      <w:lvlJc w:val="left"/>
      <w:pPr>
        <w:ind w:left="3287" w:hanging="361"/>
      </w:pPr>
      <w:rPr>
        <w:rFonts w:hint="default"/>
        <w:lang w:val="en-GB" w:eastAsia="en-GB" w:bidi="en-GB"/>
      </w:rPr>
    </w:lvl>
    <w:lvl w:ilvl="4" w:tplc="023ADA6A">
      <w:numFmt w:val="bullet"/>
      <w:lvlText w:val="•"/>
      <w:lvlJc w:val="left"/>
      <w:pPr>
        <w:ind w:left="4223" w:hanging="361"/>
      </w:pPr>
      <w:rPr>
        <w:rFonts w:hint="default"/>
        <w:lang w:val="en-GB" w:eastAsia="en-GB" w:bidi="en-GB"/>
      </w:rPr>
    </w:lvl>
    <w:lvl w:ilvl="5" w:tplc="ACAAAB88">
      <w:numFmt w:val="bullet"/>
      <w:lvlText w:val="•"/>
      <w:lvlJc w:val="left"/>
      <w:pPr>
        <w:ind w:left="5159" w:hanging="361"/>
      </w:pPr>
      <w:rPr>
        <w:rFonts w:hint="default"/>
        <w:lang w:val="en-GB" w:eastAsia="en-GB" w:bidi="en-GB"/>
      </w:rPr>
    </w:lvl>
    <w:lvl w:ilvl="6" w:tplc="2EDE65AA">
      <w:numFmt w:val="bullet"/>
      <w:lvlText w:val="•"/>
      <w:lvlJc w:val="left"/>
      <w:pPr>
        <w:ind w:left="6095" w:hanging="361"/>
      </w:pPr>
      <w:rPr>
        <w:rFonts w:hint="default"/>
        <w:lang w:val="en-GB" w:eastAsia="en-GB" w:bidi="en-GB"/>
      </w:rPr>
    </w:lvl>
    <w:lvl w:ilvl="7" w:tplc="C9787762">
      <w:numFmt w:val="bullet"/>
      <w:lvlText w:val="•"/>
      <w:lvlJc w:val="left"/>
      <w:pPr>
        <w:ind w:left="7031" w:hanging="361"/>
      </w:pPr>
      <w:rPr>
        <w:rFonts w:hint="default"/>
        <w:lang w:val="en-GB" w:eastAsia="en-GB" w:bidi="en-GB"/>
      </w:rPr>
    </w:lvl>
    <w:lvl w:ilvl="8" w:tplc="90581E6A">
      <w:numFmt w:val="bullet"/>
      <w:lvlText w:val="•"/>
      <w:lvlJc w:val="left"/>
      <w:pPr>
        <w:ind w:left="7967" w:hanging="361"/>
      </w:pPr>
      <w:rPr>
        <w:rFonts w:hint="default"/>
        <w:lang w:val="en-GB" w:eastAsia="en-GB" w:bidi="en-GB"/>
      </w:rPr>
    </w:lvl>
  </w:abstractNum>
  <w:abstractNum w:abstractNumId="8" w15:restartNumberingAfterBreak="0">
    <w:nsid w:val="3D412721"/>
    <w:multiLevelType w:val="multilevel"/>
    <w:tmpl w:val="1C426254"/>
    <w:lvl w:ilvl="0">
      <w:start w:val="6"/>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833" w:hanging="360"/>
      </w:pPr>
      <w:rPr>
        <w:rFonts w:ascii="Symbol" w:eastAsia="Symbol" w:hAnsi="Symbol" w:cs="Symbol" w:hint="default"/>
        <w:w w:val="100"/>
        <w:sz w:val="24"/>
        <w:szCs w:val="24"/>
        <w:lang w:val="en-GB" w:eastAsia="en-GB" w:bidi="en-GB"/>
      </w:rPr>
    </w:lvl>
    <w:lvl w:ilvl="3">
      <w:numFmt w:val="bullet"/>
      <w:lvlText w:val="•"/>
      <w:lvlJc w:val="left"/>
      <w:pPr>
        <w:ind w:left="2839" w:hanging="360"/>
      </w:pPr>
      <w:rPr>
        <w:rFonts w:hint="default"/>
        <w:lang w:val="en-GB" w:eastAsia="en-GB" w:bidi="en-GB"/>
      </w:rPr>
    </w:lvl>
    <w:lvl w:ilvl="4">
      <w:numFmt w:val="bullet"/>
      <w:lvlText w:val="•"/>
      <w:lvlJc w:val="left"/>
      <w:pPr>
        <w:ind w:left="3839" w:hanging="360"/>
      </w:pPr>
      <w:rPr>
        <w:rFonts w:hint="default"/>
        <w:lang w:val="en-GB" w:eastAsia="en-GB" w:bidi="en-GB"/>
      </w:rPr>
    </w:lvl>
    <w:lvl w:ilvl="5">
      <w:numFmt w:val="bullet"/>
      <w:lvlText w:val="•"/>
      <w:lvlJc w:val="left"/>
      <w:pPr>
        <w:ind w:left="4839" w:hanging="360"/>
      </w:pPr>
      <w:rPr>
        <w:rFonts w:hint="default"/>
        <w:lang w:val="en-GB" w:eastAsia="en-GB" w:bidi="en-GB"/>
      </w:rPr>
    </w:lvl>
    <w:lvl w:ilvl="6">
      <w:numFmt w:val="bullet"/>
      <w:lvlText w:val="•"/>
      <w:lvlJc w:val="left"/>
      <w:pPr>
        <w:ind w:left="5839" w:hanging="360"/>
      </w:pPr>
      <w:rPr>
        <w:rFonts w:hint="default"/>
        <w:lang w:val="en-GB" w:eastAsia="en-GB" w:bidi="en-GB"/>
      </w:rPr>
    </w:lvl>
    <w:lvl w:ilvl="7">
      <w:numFmt w:val="bullet"/>
      <w:lvlText w:val="•"/>
      <w:lvlJc w:val="left"/>
      <w:pPr>
        <w:ind w:left="6839" w:hanging="360"/>
      </w:pPr>
      <w:rPr>
        <w:rFonts w:hint="default"/>
        <w:lang w:val="en-GB" w:eastAsia="en-GB" w:bidi="en-GB"/>
      </w:rPr>
    </w:lvl>
    <w:lvl w:ilvl="8">
      <w:numFmt w:val="bullet"/>
      <w:lvlText w:val="•"/>
      <w:lvlJc w:val="left"/>
      <w:pPr>
        <w:ind w:left="7839" w:hanging="360"/>
      </w:pPr>
      <w:rPr>
        <w:rFonts w:hint="default"/>
        <w:lang w:val="en-GB" w:eastAsia="en-GB" w:bidi="en-GB"/>
      </w:rPr>
    </w:lvl>
  </w:abstractNum>
  <w:abstractNum w:abstractNumId="9" w15:restartNumberingAfterBreak="0">
    <w:nsid w:val="460617A4"/>
    <w:multiLevelType w:val="multilevel"/>
    <w:tmpl w:val="935CC8E2"/>
    <w:lvl w:ilvl="0">
      <w:start w:val="1"/>
      <w:numFmt w:val="decimal"/>
      <w:lvlText w:val="%1"/>
      <w:lvlJc w:val="left"/>
      <w:pPr>
        <w:ind w:left="898" w:hanging="360"/>
      </w:pPr>
      <w:rPr>
        <w:rFonts w:hint="default"/>
        <w:lang w:val="en-GB" w:eastAsia="en-GB" w:bidi="en-GB"/>
      </w:rPr>
    </w:lvl>
    <w:lvl w:ilvl="1">
      <w:start w:val="1"/>
      <w:numFmt w:val="decimal"/>
      <w:lvlText w:val="%1.%2"/>
      <w:lvlJc w:val="left"/>
      <w:pPr>
        <w:ind w:left="898" w:hanging="360"/>
      </w:pPr>
      <w:rPr>
        <w:rFonts w:ascii="Arial" w:eastAsia="Arial" w:hAnsi="Arial" w:cs="Arial" w:hint="default"/>
        <w:w w:val="99"/>
        <w:sz w:val="24"/>
        <w:szCs w:val="24"/>
        <w:lang w:val="en-GB" w:eastAsia="en-GB" w:bidi="en-GB"/>
      </w:rPr>
    </w:lvl>
    <w:lvl w:ilvl="2">
      <w:numFmt w:val="bullet"/>
      <w:lvlText w:val=""/>
      <w:lvlJc w:val="left"/>
      <w:pPr>
        <w:ind w:left="1258" w:hanging="360"/>
      </w:pPr>
      <w:rPr>
        <w:rFonts w:ascii="Symbol" w:eastAsia="Symbol" w:hAnsi="Symbol" w:cs="Symbol" w:hint="default"/>
        <w:w w:val="100"/>
        <w:sz w:val="24"/>
        <w:szCs w:val="24"/>
        <w:lang w:val="en-GB" w:eastAsia="en-GB" w:bidi="en-GB"/>
      </w:rPr>
    </w:lvl>
    <w:lvl w:ilvl="3">
      <w:numFmt w:val="bullet"/>
      <w:lvlText w:val="•"/>
      <w:lvlJc w:val="left"/>
      <w:pPr>
        <w:ind w:left="2332" w:hanging="360"/>
      </w:pPr>
      <w:rPr>
        <w:rFonts w:hint="default"/>
        <w:lang w:val="en-GB" w:eastAsia="en-GB" w:bidi="en-GB"/>
      </w:rPr>
    </w:lvl>
    <w:lvl w:ilvl="4">
      <w:numFmt w:val="bullet"/>
      <w:lvlText w:val="•"/>
      <w:lvlJc w:val="left"/>
      <w:pPr>
        <w:ind w:left="3404" w:hanging="360"/>
      </w:pPr>
      <w:rPr>
        <w:rFonts w:hint="default"/>
        <w:lang w:val="en-GB" w:eastAsia="en-GB" w:bidi="en-GB"/>
      </w:rPr>
    </w:lvl>
    <w:lvl w:ilvl="5">
      <w:numFmt w:val="bullet"/>
      <w:lvlText w:val="•"/>
      <w:lvlJc w:val="left"/>
      <w:pPr>
        <w:ind w:left="4477" w:hanging="360"/>
      </w:pPr>
      <w:rPr>
        <w:rFonts w:hint="default"/>
        <w:lang w:val="en-GB" w:eastAsia="en-GB" w:bidi="en-GB"/>
      </w:rPr>
    </w:lvl>
    <w:lvl w:ilvl="6">
      <w:numFmt w:val="bullet"/>
      <w:lvlText w:val="•"/>
      <w:lvlJc w:val="left"/>
      <w:pPr>
        <w:ind w:left="5549" w:hanging="360"/>
      </w:pPr>
      <w:rPr>
        <w:rFonts w:hint="default"/>
        <w:lang w:val="en-GB" w:eastAsia="en-GB" w:bidi="en-GB"/>
      </w:rPr>
    </w:lvl>
    <w:lvl w:ilvl="7">
      <w:numFmt w:val="bullet"/>
      <w:lvlText w:val="•"/>
      <w:lvlJc w:val="left"/>
      <w:pPr>
        <w:ind w:left="6622" w:hanging="360"/>
      </w:pPr>
      <w:rPr>
        <w:rFonts w:hint="default"/>
        <w:lang w:val="en-GB" w:eastAsia="en-GB" w:bidi="en-GB"/>
      </w:rPr>
    </w:lvl>
    <w:lvl w:ilvl="8">
      <w:numFmt w:val="bullet"/>
      <w:lvlText w:val="•"/>
      <w:lvlJc w:val="left"/>
      <w:pPr>
        <w:ind w:left="7694" w:hanging="360"/>
      </w:pPr>
      <w:rPr>
        <w:rFonts w:hint="default"/>
        <w:lang w:val="en-GB" w:eastAsia="en-GB" w:bidi="en-GB"/>
      </w:rPr>
    </w:lvl>
  </w:abstractNum>
  <w:abstractNum w:abstractNumId="10" w15:restartNumberingAfterBreak="0">
    <w:nsid w:val="529854BF"/>
    <w:multiLevelType w:val="hybridMultilevel"/>
    <w:tmpl w:val="D2B64FC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1" w15:restartNumberingAfterBreak="0">
    <w:nsid w:val="529E34B6"/>
    <w:multiLevelType w:val="multilevel"/>
    <w:tmpl w:val="38DCDE70"/>
    <w:lvl w:ilvl="0">
      <w:start w:val="4"/>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193" w:hanging="360"/>
      </w:pPr>
      <w:rPr>
        <w:rFonts w:ascii="Symbol" w:eastAsia="Symbol" w:hAnsi="Symbol" w:cs="Symbol" w:hint="default"/>
        <w:w w:val="100"/>
        <w:sz w:val="24"/>
        <w:szCs w:val="24"/>
        <w:lang w:val="en-GB" w:eastAsia="en-GB" w:bidi="en-GB"/>
      </w:rPr>
    </w:lvl>
    <w:lvl w:ilvl="3">
      <w:numFmt w:val="bullet"/>
      <w:lvlText w:val="-"/>
      <w:lvlJc w:val="left"/>
      <w:pPr>
        <w:ind w:left="1553" w:hanging="360"/>
      </w:pPr>
      <w:rPr>
        <w:rFonts w:ascii="Arial" w:eastAsia="Arial" w:hAnsi="Arial" w:cs="Arial" w:hint="default"/>
        <w:spacing w:val="-3"/>
        <w:w w:val="99"/>
        <w:sz w:val="24"/>
        <w:szCs w:val="24"/>
        <w:lang w:val="en-GB" w:eastAsia="en-GB" w:bidi="en-GB"/>
      </w:rPr>
    </w:lvl>
    <w:lvl w:ilvl="4">
      <w:numFmt w:val="bullet"/>
      <w:lvlText w:val="•"/>
      <w:lvlJc w:val="left"/>
      <w:pPr>
        <w:ind w:left="3629" w:hanging="360"/>
      </w:pPr>
      <w:rPr>
        <w:rFonts w:hint="default"/>
        <w:lang w:val="en-GB" w:eastAsia="en-GB" w:bidi="en-GB"/>
      </w:rPr>
    </w:lvl>
    <w:lvl w:ilvl="5">
      <w:numFmt w:val="bullet"/>
      <w:lvlText w:val="•"/>
      <w:lvlJc w:val="left"/>
      <w:pPr>
        <w:ind w:left="4664" w:hanging="360"/>
      </w:pPr>
      <w:rPr>
        <w:rFonts w:hint="default"/>
        <w:lang w:val="en-GB" w:eastAsia="en-GB" w:bidi="en-GB"/>
      </w:rPr>
    </w:lvl>
    <w:lvl w:ilvl="6">
      <w:numFmt w:val="bullet"/>
      <w:lvlText w:val="•"/>
      <w:lvlJc w:val="left"/>
      <w:pPr>
        <w:ind w:left="5699" w:hanging="360"/>
      </w:pPr>
      <w:rPr>
        <w:rFonts w:hint="default"/>
        <w:lang w:val="en-GB" w:eastAsia="en-GB" w:bidi="en-GB"/>
      </w:rPr>
    </w:lvl>
    <w:lvl w:ilvl="7">
      <w:numFmt w:val="bullet"/>
      <w:lvlText w:val="•"/>
      <w:lvlJc w:val="left"/>
      <w:pPr>
        <w:ind w:left="6734" w:hanging="360"/>
      </w:pPr>
      <w:rPr>
        <w:rFonts w:hint="default"/>
        <w:lang w:val="en-GB" w:eastAsia="en-GB" w:bidi="en-GB"/>
      </w:rPr>
    </w:lvl>
    <w:lvl w:ilvl="8">
      <w:numFmt w:val="bullet"/>
      <w:lvlText w:val="•"/>
      <w:lvlJc w:val="left"/>
      <w:pPr>
        <w:ind w:left="7769" w:hanging="360"/>
      </w:pPr>
      <w:rPr>
        <w:rFonts w:hint="default"/>
        <w:lang w:val="en-GB" w:eastAsia="en-GB" w:bidi="en-GB"/>
      </w:rPr>
    </w:lvl>
  </w:abstractNum>
  <w:abstractNum w:abstractNumId="12" w15:restartNumberingAfterBreak="0">
    <w:nsid w:val="600320B5"/>
    <w:multiLevelType w:val="multilevel"/>
    <w:tmpl w:val="0FA0C93C"/>
    <w:lvl w:ilvl="0">
      <w:start w:val="5"/>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265" w:hanging="360"/>
      </w:pPr>
      <w:rPr>
        <w:rFonts w:ascii="Symbol" w:eastAsia="Symbol" w:hAnsi="Symbol" w:cs="Symbol" w:hint="default"/>
        <w:w w:val="100"/>
        <w:sz w:val="24"/>
        <w:szCs w:val="24"/>
        <w:lang w:val="en-GB" w:eastAsia="en-GB" w:bidi="en-GB"/>
      </w:rPr>
    </w:lvl>
    <w:lvl w:ilvl="3">
      <w:numFmt w:val="bullet"/>
      <w:lvlText w:val="•"/>
      <w:lvlJc w:val="left"/>
      <w:pPr>
        <w:ind w:left="1260" w:hanging="360"/>
      </w:pPr>
      <w:rPr>
        <w:rFonts w:hint="default"/>
        <w:lang w:val="en-GB" w:eastAsia="en-GB" w:bidi="en-GB"/>
      </w:rPr>
    </w:lvl>
    <w:lvl w:ilvl="4">
      <w:numFmt w:val="bullet"/>
      <w:lvlText w:val="•"/>
      <w:lvlJc w:val="left"/>
      <w:pPr>
        <w:ind w:left="2485" w:hanging="360"/>
      </w:pPr>
      <w:rPr>
        <w:rFonts w:hint="default"/>
        <w:lang w:val="en-GB" w:eastAsia="en-GB" w:bidi="en-GB"/>
      </w:rPr>
    </w:lvl>
    <w:lvl w:ilvl="5">
      <w:numFmt w:val="bullet"/>
      <w:lvlText w:val="•"/>
      <w:lvlJc w:val="left"/>
      <w:pPr>
        <w:ind w:left="3711" w:hanging="360"/>
      </w:pPr>
      <w:rPr>
        <w:rFonts w:hint="default"/>
        <w:lang w:val="en-GB" w:eastAsia="en-GB" w:bidi="en-GB"/>
      </w:rPr>
    </w:lvl>
    <w:lvl w:ilvl="6">
      <w:numFmt w:val="bullet"/>
      <w:lvlText w:val="•"/>
      <w:lvlJc w:val="left"/>
      <w:pPr>
        <w:ind w:left="4936" w:hanging="360"/>
      </w:pPr>
      <w:rPr>
        <w:rFonts w:hint="default"/>
        <w:lang w:val="en-GB" w:eastAsia="en-GB" w:bidi="en-GB"/>
      </w:rPr>
    </w:lvl>
    <w:lvl w:ilvl="7">
      <w:numFmt w:val="bullet"/>
      <w:lvlText w:val="•"/>
      <w:lvlJc w:val="left"/>
      <w:pPr>
        <w:ind w:left="6162" w:hanging="360"/>
      </w:pPr>
      <w:rPr>
        <w:rFonts w:hint="default"/>
        <w:lang w:val="en-GB" w:eastAsia="en-GB" w:bidi="en-GB"/>
      </w:rPr>
    </w:lvl>
    <w:lvl w:ilvl="8">
      <w:numFmt w:val="bullet"/>
      <w:lvlText w:val="•"/>
      <w:lvlJc w:val="left"/>
      <w:pPr>
        <w:ind w:left="7388" w:hanging="360"/>
      </w:pPr>
      <w:rPr>
        <w:rFonts w:hint="default"/>
        <w:lang w:val="en-GB" w:eastAsia="en-GB" w:bidi="en-GB"/>
      </w:rPr>
    </w:lvl>
  </w:abstractNum>
  <w:abstractNum w:abstractNumId="13" w15:restartNumberingAfterBreak="0">
    <w:nsid w:val="60D64BEA"/>
    <w:multiLevelType w:val="hybridMultilevel"/>
    <w:tmpl w:val="BF1AFD90"/>
    <w:lvl w:ilvl="0" w:tplc="08090017">
      <w:start w:val="1"/>
      <w:numFmt w:val="lowerLetter"/>
      <w:lvlText w:val="%1)"/>
      <w:lvlJc w:val="left"/>
      <w:pPr>
        <w:ind w:left="1193" w:hanging="360"/>
      </w:pPr>
    </w:lvl>
    <w:lvl w:ilvl="1" w:tplc="08090019" w:tentative="1">
      <w:start w:val="1"/>
      <w:numFmt w:val="lowerLetter"/>
      <w:lvlText w:val="%2."/>
      <w:lvlJc w:val="left"/>
      <w:pPr>
        <w:ind w:left="1913" w:hanging="360"/>
      </w:pPr>
    </w:lvl>
    <w:lvl w:ilvl="2" w:tplc="0809001B" w:tentative="1">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14" w15:restartNumberingAfterBreak="0">
    <w:nsid w:val="6B7B0B1E"/>
    <w:multiLevelType w:val="hybridMultilevel"/>
    <w:tmpl w:val="7E865804"/>
    <w:lvl w:ilvl="0" w:tplc="237C98BE">
      <w:numFmt w:val="bullet"/>
      <w:lvlText w:val=""/>
      <w:lvlJc w:val="left"/>
      <w:pPr>
        <w:ind w:left="842" w:hanging="360"/>
      </w:pPr>
      <w:rPr>
        <w:rFonts w:ascii="Symbol" w:eastAsia="Symbol" w:hAnsi="Symbol" w:cs="Symbol" w:hint="default"/>
        <w:w w:val="100"/>
        <w:sz w:val="24"/>
        <w:szCs w:val="24"/>
        <w:lang w:val="en-GB" w:eastAsia="en-GB" w:bidi="en-GB"/>
      </w:rPr>
    </w:lvl>
    <w:lvl w:ilvl="1" w:tplc="25DA8BB4">
      <w:numFmt w:val="bullet"/>
      <w:lvlText w:val="•"/>
      <w:lvlJc w:val="left"/>
      <w:pPr>
        <w:ind w:left="1739" w:hanging="360"/>
      </w:pPr>
      <w:rPr>
        <w:rFonts w:hint="default"/>
        <w:lang w:val="en-GB" w:eastAsia="en-GB" w:bidi="en-GB"/>
      </w:rPr>
    </w:lvl>
    <w:lvl w:ilvl="2" w:tplc="D91203F2">
      <w:numFmt w:val="bullet"/>
      <w:lvlText w:val="•"/>
      <w:lvlJc w:val="left"/>
      <w:pPr>
        <w:ind w:left="2639" w:hanging="360"/>
      </w:pPr>
      <w:rPr>
        <w:rFonts w:hint="default"/>
        <w:lang w:val="en-GB" w:eastAsia="en-GB" w:bidi="en-GB"/>
      </w:rPr>
    </w:lvl>
    <w:lvl w:ilvl="3" w:tplc="AC62CC66">
      <w:numFmt w:val="bullet"/>
      <w:lvlText w:val="•"/>
      <w:lvlJc w:val="left"/>
      <w:pPr>
        <w:ind w:left="3539" w:hanging="360"/>
      </w:pPr>
      <w:rPr>
        <w:rFonts w:hint="default"/>
        <w:lang w:val="en-GB" w:eastAsia="en-GB" w:bidi="en-GB"/>
      </w:rPr>
    </w:lvl>
    <w:lvl w:ilvl="4" w:tplc="122683C4">
      <w:numFmt w:val="bullet"/>
      <w:lvlText w:val="•"/>
      <w:lvlJc w:val="left"/>
      <w:pPr>
        <w:ind w:left="4439" w:hanging="360"/>
      </w:pPr>
      <w:rPr>
        <w:rFonts w:hint="default"/>
        <w:lang w:val="en-GB" w:eastAsia="en-GB" w:bidi="en-GB"/>
      </w:rPr>
    </w:lvl>
    <w:lvl w:ilvl="5" w:tplc="9BA48A70">
      <w:numFmt w:val="bullet"/>
      <w:lvlText w:val="•"/>
      <w:lvlJc w:val="left"/>
      <w:pPr>
        <w:ind w:left="5339" w:hanging="360"/>
      </w:pPr>
      <w:rPr>
        <w:rFonts w:hint="default"/>
        <w:lang w:val="en-GB" w:eastAsia="en-GB" w:bidi="en-GB"/>
      </w:rPr>
    </w:lvl>
    <w:lvl w:ilvl="6" w:tplc="955A48A0">
      <w:numFmt w:val="bullet"/>
      <w:lvlText w:val="•"/>
      <w:lvlJc w:val="left"/>
      <w:pPr>
        <w:ind w:left="6239" w:hanging="360"/>
      </w:pPr>
      <w:rPr>
        <w:rFonts w:hint="default"/>
        <w:lang w:val="en-GB" w:eastAsia="en-GB" w:bidi="en-GB"/>
      </w:rPr>
    </w:lvl>
    <w:lvl w:ilvl="7" w:tplc="7F52D88A">
      <w:numFmt w:val="bullet"/>
      <w:lvlText w:val="•"/>
      <w:lvlJc w:val="left"/>
      <w:pPr>
        <w:ind w:left="7139" w:hanging="360"/>
      </w:pPr>
      <w:rPr>
        <w:rFonts w:hint="default"/>
        <w:lang w:val="en-GB" w:eastAsia="en-GB" w:bidi="en-GB"/>
      </w:rPr>
    </w:lvl>
    <w:lvl w:ilvl="8" w:tplc="DAD6F4F8">
      <w:numFmt w:val="bullet"/>
      <w:lvlText w:val="•"/>
      <w:lvlJc w:val="left"/>
      <w:pPr>
        <w:ind w:left="8039" w:hanging="360"/>
      </w:pPr>
      <w:rPr>
        <w:rFonts w:hint="default"/>
        <w:lang w:val="en-GB" w:eastAsia="en-GB" w:bidi="en-GB"/>
      </w:rPr>
    </w:lvl>
  </w:abstractNum>
  <w:abstractNum w:abstractNumId="15" w15:restartNumberingAfterBreak="0">
    <w:nsid w:val="6F710FAD"/>
    <w:multiLevelType w:val="hybridMultilevel"/>
    <w:tmpl w:val="36F0098E"/>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6" w15:restartNumberingAfterBreak="0">
    <w:nsid w:val="78C90C1C"/>
    <w:multiLevelType w:val="multilevel"/>
    <w:tmpl w:val="9A7C2C6A"/>
    <w:lvl w:ilvl="0">
      <w:start w:val="3"/>
      <w:numFmt w:val="decimal"/>
      <w:lvlText w:val="%1"/>
      <w:lvlJc w:val="left"/>
      <w:pPr>
        <w:ind w:left="473" w:hanging="361"/>
      </w:pPr>
      <w:rPr>
        <w:rFonts w:hint="default"/>
        <w:lang w:val="en-GB" w:eastAsia="en-GB" w:bidi="en-GB"/>
      </w:rPr>
    </w:lvl>
    <w:lvl w:ilvl="1">
      <w:start w:val="4"/>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298" w:hanging="466"/>
      </w:pPr>
      <w:rPr>
        <w:rFonts w:ascii="Symbol" w:eastAsia="Symbol" w:hAnsi="Symbol" w:cs="Symbol" w:hint="default"/>
        <w:w w:val="100"/>
        <w:sz w:val="24"/>
        <w:szCs w:val="24"/>
        <w:lang w:val="en-GB" w:eastAsia="en-GB" w:bidi="en-GB"/>
      </w:rPr>
    </w:lvl>
    <w:lvl w:ilvl="3">
      <w:numFmt w:val="bullet"/>
      <w:lvlText w:val="•"/>
      <w:lvlJc w:val="left"/>
      <w:pPr>
        <w:ind w:left="2402" w:hanging="466"/>
      </w:pPr>
      <w:rPr>
        <w:rFonts w:hint="default"/>
        <w:lang w:val="en-GB" w:eastAsia="en-GB" w:bidi="en-GB"/>
      </w:rPr>
    </w:lvl>
    <w:lvl w:ilvl="4">
      <w:numFmt w:val="bullet"/>
      <w:lvlText w:val="•"/>
      <w:lvlJc w:val="left"/>
      <w:pPr>
        <w:ind w:left="3464" w:hanging="466"/>
      </w:pPr>
      <w:rPr>
        <w:rFonts w:hint="default"/>
        <w:lang w:val="en-GB" w:eastAsia="en-GB" w:bidi="en-GB"/>
      </w:rPr>
    </w:lvl>
    <w:lvl w:ilvl="5">
      <w:numFmt w:val="bullet"/>
      <w:lvlText w:val="•"/>
      <w:lvlJc w:val="left"/>
      <w:pPr>
        <w:ind w:left="4527" w:hanging="466"/>
      </w:pPr>
      <w:rPr>
        <w:rFonts w:hint="default"/>
        <w:lang w:val="en-GB" w:eastAsia="en-GB" w:bidi="en-GB"/>
      </w:rPr>
    </w:lvl>
    <w:lvl w:ilvl="6">
      <w:numFmt w:val="bullet"/>
      <w:lvlText w:val="•"/>
      <w:lvlJc w:val="left"/>
      <w:pPr>
        <w:ind w:left="5589" w:hanging="466"/>
      </w:pPr>
      <w:rPr>
        <w:rFonts w:hint="default"/>
        <w:lang w:val="en-GB" w:eastAsia="en-GB" w:bidi="en-GB"/>
      </w:rPr>
    </w:lvl>
    <w:lvl w:ilvl="7">
      <w:numFmt w:val="bullet"/>
      <w:lvlText w:val="•"/>
      <w:lvlJc w:val="left"/>
      <w:pPr>
        <w:ind w:left="6652" w:hanging="466"/>
      </w:pPr>
      <w:rPr>
        <w:rFonts w:hint="default"/>
        <w:lang w:val="en-GB" w:eastAsia="en-GB" w:bidi="en-GB"/>
      </w:rPr>
    </w:lvl>
    <w:lvl w:ilvl="8">
      <w:numFmt w:val="bullet"/>
      <w:lvlText w:val="•"/>
      <w:lvlJc w:val="left"/>
      <w:pPr>
        <w:ind w:left="7714" w:hanging="466"/>
      </w:pPr>
      <w:rPr>
        <w:rFonts w:hint="default"/>
        <w:lang w:val="en-GB" w:eastAsia="en-GB" w:bidi="en-GB"/>
      </w:rPr>
    </w:lvl>
  </w:abstractNum>
  <w:abstractNum w:abstractNumId="17" w15:restartNumberingAfterBreak="0">
    <w:nsid w:val="7E0C72B2"/>
    <w:multiLevelType w:val="multilevel"/>
    <w:tmpl w:val="2DB87BE8"/>
    <w:lvl w:ilvl="0">
      <w:start w:val="3"/>
      <w:numFmt w:val="decimal"/>
      <w:lvlText w:val="%1"/>
      <w:lvlJc w:val="left"/>
      <w:pPr>
        <w:ind w:left="473" w:hanging="361"/>
      </w:pPr>
      <w:rPr>
        <w:rFonts w:hint="default"/>
        <w:lang w:val="en-GB" w:eastAsia="en-GB" w:bidi="en-GB"/>
      </w:rPr>
    </w:lvl>
    <w:lvl w:ilvl="1">
      <w:start w:val="1"/>
      <w:numFmt w:val="decimal"/>
      <w:lvlText w:val="%1.%2"/>
      <w:lvlJc w:val="left"/>
      <w:pPr>
        <w:ind w:left="473" w:hanging="361"/>
      </w:pPr>
      <w:rPr>
        <w:rFonts w:ascii="Arial" w:eastAsia="Arial" w:hAnsi="Arial" w:cs="Arial" w:hint="default"/>
        <w:w w:val="99"/>
        <w:sz w:val="24"/>
        <w:szCs w:val="24"/>
        <w:lang w:val="en-GB" w:eastAsia="en-GB" w:bidi="en-GB"/>
      </w:rPr>
    </w:lvl>
    <w:lvl w:ilvl="2">
      <w:numFmt w:val="bullet"/>
      <w:lvlText w:val=""/>
      <w:lvlJc w:val="left"/>
      <w:pPr>
        <w:ind w:left="1193" w:hanging="360"/>
      </w:pPr>
      <w:rPr>
        <w:rFonts w:ascii="Symbol" w:eastAsia="Symbol" w:hAnsi="Symbol" w:cs="Symbol" w:hint="default"/>
        <w:w w:val="100"/>
        <w:sz w:val="24"/>
        <w:szCs w:val="24"/>
        <w:lang w:val="en-GB" w:eastAsia="en-GB" w:bidi="en-GB"/>
      </w:rPr>
    </w:lvl>
    <w:lvl w:ilvl="3">
      <w:numFmt w:val="bullet"/>
      <w:lvlText w:val="•"/>
      <w:lvlJc w:val="left"/>
      <w:pPr>
        <w:ind w:left="3119" w:hanging="360"/>
      </w:pPr>
      <w:rPr>
        <w:rFonts w:hint="default"/>
        <w:lang w:val="en-GB" w:eastAsia="en-GB" w:bidi="en-GB"/>
      </w:rPr>
    </w:lvl>
    <w:lvl w:ilvl="4">
      <w:numFmt w:val="bullet"/>
      <w:lvlText w:val="•"/>
      <w:lvlJc w:val="left"/>
      <w:pPr>
        <w:ind w:left="4079" w:hanging="360"/>
      </w:pPr>
      <w:rPr>
        <w:rFonts w:hint="default"/>
        <w:lang w:val="en-GB" w:eastAsia="en-GB" w:bidi="en-GB"/>
      </w:rPr>
    </w:lvl>
    <w:lvl w:ilvl="5">
      <w:numFmt w:val="bullet"/>
      <w:lvlText w:val="•"/>
      <w:lvlJc w:val="left"/>
      <w:pPr>
        <w:ind w:left="5039" w:hanging="360"/>
      </w:pPr>
      <w:rPr>
        <w:rFonts w:hint="default"/>
        <w:lang w:val="en-GB" w:eastAsia="en-GB" w:bidi="en-GB"/>
      </w:rPr>
    </w:lvl>
    <w:lvl w:ilvl="6">
      <w:numFmt w:val="bullet"/>
      <w:lvlText w:val="•"/>
      <w:lvlJc w:val="left"/>
      <w:pPr>
        <w:ind w:left="5999" w:hanging="360"/>
      </w:pPr>
      <w:rPr>
        <w:rFonts w:hint="default"/>
        <w:lang w:val="en-GB" w:eastAsia="en-GB" w:bidi="en-GB"/>
      </w:rPr>
    </w:lvl>
    <w:lvl w:ilvl="7">
      <w:numFmt w:val="bullet"/>
      <w:lvlText w:val="•"/>
      <w:lvlJc w:val="left"/>
      <w:pPr>
        <w:ind w:left="6959" w:hanging="360"/>
      </w:pPr>
      <w:rPr>
        <w:rFonts w:hint="default"/>
        <w:lang w:val="en-GB" w:eastAsia="en-GB" w:bidi="en-GB"/>
      </w:rPr>
    </w:lvl>
    <w:lvl w:ilvl="8">
      <w:numFmt w:val="bullet"/>
      <w:lvlText w:val="•"/>
      <w:lvlJc w:val="left"/>
      <w:pPr>
        <w:ind w:left="7919" w:hanging="360"/>
      </w:pPr>
      <w:rPr>
        <w:rFonts w:hint="default"/>
        <w:lang w:val="en-GB" w:eastAsia="en-GB" w:bidi="en-GB"/>
      </w:rPr>
    </w:lvl>
  </w:abstractNum>
  <w:num w:numId="1">
    <w:abstractNumId w:val="7"/>
  </w:num>
  <w:num w:numId="2">
    <w:abstractNumId w:val="5"/>
  </w:num>
  <w:num w:numId="3">
    <w:abstractNumId w:val="3"/>
  </w:num>
  <w:num w:numId="4">
    <w:abstractNumId w:val="8"/>
  </w:num>
  <w:num w:numId="5">
    <w:abstractNumId w:val="12"/>
  </w:num>
  <w:num w:numId="6">
    <w:abstractNumId w:val="11"/>
  </w:num>
  <w:num w:numId="7">
    <w:abstractNumId w:val="16"/>
  </w:num>
  <w:num w:numId="8">
    <w:abstractNumId w:val="17"/>
  </w:num>
  <w:num w:numId="9">
    <w:abstractNumId w:val="6"/>
  </w:num>
  <w:num w:numId="10">
    <w:abstractNumId w:val="1"/>
  </w:num>
  <w:num w:numId="11">
    <w:abstractNumId w:val="9"/>
  </w:num>
  <w:num w:numId="12">
    <w:abstractNumId w:val="4"/>
  </w:num>
  <w:num w:numId="13">
    <w:abstractNumId w:val="2"/>
  </w:num>
  <w:num w:numId="14">
    <w:abstractNumId w:val="14"/>
  </w:num>
  <w:num w:numId="15">
    <w:abstractNumId w:val="13"/>
  </w:num>
  <w:num w:numId="16">
    <w:abstractNumId w:val="0"/>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0E"/>
    <w:rsid w:val="00021167"/>
    <w:rsid w:val="00023965"/>
    <w:rsid w:val="00027180"/>
    <w:rsid w:val="00037C55"/>
    <w:rsid w:val="00044556"/>
    <w:rsid w:val="00044564"/>
    <w:rsid w:val="00046491"/>
    <w:rsid w:val="00062B5F"/>
    <w:rsid w:val="00064165"/>
    <w:rsid w:val="000706BF"/>
    <w:rsid w:val="00073055"/>
    <w:rsid w:val="0007452B"/>
    <w:rsid w:val="00085528"/>
    <w:rsid w:val="00087621"/>
    <w:rsid w:val="00093140"/>
    <w:rsid w:val="0009407D"/>
    <w:rsid w:val="00097A18"/>
    <w:rsid w:val="000A023E"/>
    <w:rsid w:val="000A1B6B"/>
    <w:rsid w:val="000A1D51"/>
    <w:rsid w:val="000A5BB5"/>
    <w:rsid w:val="000B1455"/>
    <w:rsid w:val="000B1B23"/>
    <w:rsid w:val="000B2270"/>
    <w:rsid w:val="000C02CE"/>
    <w:rsid w:val="000C04CC"/>
    <w:rsid w:val="000C2B17"/>
    <w:rsid w:val="000D1232"/>
    <w:rsid w:val="000D154F"/>
    <w:rsid w:val="000D4DCF"/>
    <w:rsid w:val="000E0B46"/>
    <w:rsid w:val="000E0FB2"/>
    <w:rsid w:val="000E2449"/>
    <w:rsid w:val="000E3D4B"/>
    <w:rsid w:val="000F5217"/>
    <w:rsid w:val="000F6B53"/>
    <w:rsid w:val="000F6C53"/>
    <w:rsid w:val="001018C0"/>
    <w:rsid w:val="0010395E"/>
    <w:rsid w:val="00104B8A"/>
    <w:rsid w:val="001070B6"/>
    <w:rsid w:val="00116517"/>
    <w:rsid w:val="0012008A"/>
    <w:rsid w:val="00122700"/>
    <w:rsid w:val="0012290E"/>
    <w:rsid w:val="001317A8"/>
    <w:rsid w:val="00131FBC"/>
    <w:rsid w:val="00134AC2"/>
    <w:rsid w:val="00137194"/>
    <w:rsid w:val="00141426"/>
    <w:rsid w:val="001449B0"/>
    <w:rsid w:val="00145741"/>
    <w:rsid w:val="001459E7"/>
    <w:rsid w:val="00146AD9"/>
    <w:rsid w:val="001518D4"/>
    <w:rsid w:val="00152C1F"/>
    <w:rsid w:val="0015363B"/>
    <w:rsid w:val="00154F3E"/>
    <w:rsid w:val="0016654A"/>
    <w:rsid w:val="0016791B"/>
    <w:rsid w:val="001716DE"/>
    <w:rsid w:val="0019265D"/>
    <w:rsid w:val="0019377F"/>
    <w:rsid w:val="001A0AAC"/>
    <w:rsid w:val="001A3765"/>
    <w:rsid w:val="001C43A5"/>
    <w:rsid w:val="001C47D6"/>
    <w:rsid w:val="001D5579"/>
    <w:rsid w:val="001D6C1D"/>
    <w:rsid w:val="001E2224"/>
    <w:rsid w:val="001E66E4"/>
    <w:rsid w:val="001E77E4"/>
    <w:rsid w:val="001F0564"/>
    <w:rsid w:val="001F0EA5"/>
    <w:rsid w:val="001F23D7"/>
    <w:rsid w:val="001F4AD6"/>
    <w:rsid w:val="001F6716"/>
    <w:rsid w:val="00204A01"/>
    <w:rsid w:val="002133B4"/>
    <w:rsid w:val="0021395A"/>
    <w:rsid w:val="00217BC4"/>
    <w:rsid w:val="002230E1"/>
    <w:rsid w:val="002240A8"/>
    <w:rsid w:val="0022578E"/>
    <w:rsid w:val="00233A4A"/>
    <w:rsid w:val="002438C3"/>
    <w:rsid w:val="00247977"/>
    <w:rsid w:val="00253860"/>
    <w:rsid w:val="002550D9"/>
    <w:rsid w:val="00255B58"/>
    <w:rsid w:val="00266C9A"/>
    <w:rsid w:val="00270CCA"/>
    <w:rsid w:val="0027489D"/>
    <w:rsid w:val="00275B07"/>
    <w:rsid w:val="00276C3A"/>
    <w:rsid w:val="0028230C"/>
    <w:rsid w:val="00284F97"/>
    <w:rsid w:val="002866B0"/>
    <w:rsid w:val="00286DD6"/>
    <w:rsid w:val="00292A79"/>
    <w:rsid w:val="002979E3"/>
    <w:rsid w:val="002A5587"/>
    <w:rsid w:val="002B0AF1"/>
    <w:rsid w:val="002B506C"/>
    <w:rsid w:val="002B7E3C"/>
    <w:rsid w:val="002C6F0B"/>
    <w:rsid w:val="002E00F3"/>
    <w:rsid w:val="002E7726"/>
    <w:rsid w:val="002F3537"/>
    <w:rsid w:val="002F3ED8"/>
    <w:rsid w:val="00304E3C"/>
    <w:rsid w:val="003053A3"/>
    <w:rsid w:val="00310E16"/>
    <w:rsid w:val="0031171B"/>
    <w:rsid w:val="00311E83"/>
    <w:rsid w:val="00317E66"/>
    <w:rsid w:val="00321D49"/>
    <w:rsid w:val="00325173"/>
    <w:rsid w:val="00325FED"/>
    <w:rsid w:val="003269CC"/>
    <w:rsid w:val="003310BC"/>
    <w:rsid w:val="003619EE"/>
    <w:rsid w:val="003650EE"/>
    <w:rsid w:val="0037303F"/>
    <w:rsid w:val="003733B8"/>
    <w:rsid w:val="00381715"/>
    <w:rsid w:val="00395E62"/>
    <w:rsid w:val="003A67D6"/>
    <w:rsid w:val="003B6355"/>
    <w:rsid w:val="003B7791"/>
    <w:rsid w:val="003C2DB1"/>
    <w:rsid w:val="003C6896"/>
    <w:rsid w:val="003C7A06"/>
    <w:rsid w:val="003D0A60"/>
    <w:rsid w:val="003D5030"/>
    <w:rsid w:val="003D527F"/>
    <w:rsid w:val="003D5E37"/>
    <w:rsid w:val="003E1B98"/>
    <w:rsid w:val="003E567D"/>
    <w:rsid w:val="003F1BB4"/>
    <w:rsid w:val="003F329A"/>
    <w:rsid w:val="003F37FC"/>
    <w:rsid w:val="003F4050"/>
    <w:rsid w:val="003F7373"/>
    <w:rsid w:val="004019C6"/>
    <w:rsid w:val="00401BAF"/>
    <w:rsid w:val="004040AA"/>
    <w:rsid w:val="00410487"/>
    <w:rsid w:val="004160DA"/>
    <w:rsid w:val="004307E5"/>
    <w:rsid w:val="004330FD"/>
    <w:rsid w:val="0044491E"/>
    <w:rsid w:val="00451A5B"/>
    <w:rsid w:val="004520B2"/>
    <w:rsid w:val="00454BE3"/>
    <w:rsid w:val="00473BD2"/>
    <w:rsid w:val="00476D3C"/>
    <w:rsid w:val="00486220"/>
    <w:rsid w:val="00486EAD"/>
    <w:rsid w:val="00490EFF"/>
    <w:rsid w:val="00493DC7"/>
    <w:rsid w:val="0049762E"/>
    <w:rsid w:val="004A18F9"/>
    <w:rsid w:val="004A3FF4"/>
    <w:rsid w:val="004A6DF2"/>
    <w:rsid w:val="004B0A6D"/>
    <w:rsid w:val="004C0395"/>
    <w:rsid w:val="004C5BF4"/>
    <w:rsid w:val="004C6077"/>
    <w:rsid w:val="004D08E5"/>
    <w:rsid w:val="004D11A1"/>
    <w:rsid w:val="004D18F6"/>
    <w:rsid w:val="004D24AB"/>
    <w:rsid w:val="004D4E6E"/>
    <w:rsid w:val="004D5F73"/>
    <w:rsid w:val="004E0C30"/>
    <w:rsid w:val="004E3B4C"/>
    <w:rsid w:val="004E5EDF"/>
    <w:rsid w:val="004F0789"/>
    <w:rsid w:val="00500CFC"/>
    <w:rsid w:val="00502558"/>
    <w:rsid w:val="0050399B"/>
    <w:rsid w:val="00504A49"/>
    <w:rsid w:val="0050738A"/>
    <w:rsid w:val="00511D61"/>
    <w:rsid w:val="005220F6"/>
    <w:rsid w:val="00522319"/>
    <w:rsid w:val="00532471"/>
    <w:rsid w:val="00532DB2"/>
    <w:rsid w:val="00535A36"/>
    <w:rsid w:val="00536CED"/>
    <w:rsid w:val="00555D61"/>
    <w:rsid w:val="005562F0"/>
    <w:rsid w:val="00562826"/>
    <w:rsid w:val="00563B52"/>
    <w:rsid w:val="00564CC5"/>
    <w:rsid w:val="00576897"/>
    <w:rsid w:val="00580210"/>
    <w:rsid w:val="0059216F"/>
    <w:rsid w:val="005A3895"/>
    <w:rsid w:val="005A55AF"/>
    <w:rsid w:val="005A66AE"/>
    <w:rsid w:val="005B0D25"/>
    <w:rsid w:val="005B1B1D"/>
    <w:rsid w:val="005B532A"/>
    <w:rsid w:val="005C1AE4"/>
    <w:rsid w:val="005D1CF0"/>
    <w:rsid w:val="005D5A37"/>
    <w:rsid w:val="005D6695"/>
    <w:rsid w:val="005E0512"/>
    <w:rsid w:val="005E0714"/>
    <w:rsid w:val="005E208F"/>
    <w:rsid w:val="005E2F2B"/>
    <w:rsid w:val="005E4CD4"/>
    <w:rsid w:val="00605EE9"/>
    <w:rsid w:val="00614400"/>
    <w:rsid w:val="006273E4"/>
    <w:rsid w:val="00630D26"/>
    <w:rsid w:val="00632B9F"/>
    <w:rsid w:val="00637F25"/>
    <w:rsid w:val="0064123E"/>
    <w:rsid w:val="0065394E"/>
    <w:rsid w:val="00655EEC"/>
    <w:rsid w:val="00656299"/>
    <w:rsid w:val="0065658B"/>
    <w:rsid w:val="006573C2"/>
    <w:rsid w:val="006636A6"/>
    <w:rsid w:val="0066705E"/>
    <w:rsid w:val="00676165"/>
    <w:rsid w:val="006762CD"/>
    <w:rsid w:val="00686337"/>
    <w:rsid w:val="006908C8"/>
    <w:rsid w:val="00691290"/>
    <w:rsid w:val="00694DB9"/>
    <w:rsid w:val="00697E9A"/>
    <w:rsid w:val="006B5C41"/>
    <w:rsid w:val="006C77A3"/>
    <w:rsid w:val="006D12B8"/>
    <w:rsid w:val="006D2B09"/>
    <w:rsid w:val="006D3673"/>
    <w:rsid w:val="006D776F"/>
    <w:rsid w:val="006D7D37"/>
    <w:rsid w:val="006E4C3B"/>
    <w:rsid w:val="006E7DE8"/>
    <w:rsid w:val="00703064"/>
    <w:rsid w:val="00706B68"/>
    <w:rsid w:val="00717E48"/>
    <w:rsid w:val="00720EE6"/>
    <w:rsid w:val="00725BEB"/>
    <w:rsid w:val="007300BF"/>
    <w:rsid w:val="00734D78"/>
    <w:rsid w:val="00736871"/>
    <w:rsid w:val="00740C58"/>
    <w:rsid w:val="00742AED"/>
    <w:rsid w:val="00743C0D"/>
    <w:rsid w:val="0074407C"/>
    <w:rsid w:val="007454B0"/>
    <w:rsid w:val="00746FE5"/>
    <w:rsid w:val="00750A23"/>
    <w:rsid w:val="0075157F"/>
    <w:rsid w:val="0075422B"/>
    <w:rsid w:val="007574F0"/>
    <w:rsid w:val="00761258"/>
    <w:rsid w:val="00763F50"/>
    <w:rsid w:val="0076540E"/>
    <w:rsid w:val="007846C4"/>
    <w:rsid w:val="00787AEE"/>
    <w:rsid w:val="00792747"/>
    <w:rsid w:val="007940C8"/>
    <w:rsid w:val="007A2E66"/>
    <w:rsid w:val="007A53D2"/>
    <w:rsid w:val="007A63DE"/>
    <w:rsid w:val="007B461E"/>
    <w:rsid w:val="007C2820"/>
    <w:rsid w:val="007E01C9"/>
    <w:rsid w:val="007E337E"/>
    <w:rsid w:val="007E5AD7"/>
    <w:rsid w:val="007F464D"/>
    <w:rsid w:val="0080357E"/>
    <w:rsid w:val="00803C74"/>
    <w:rsid w:val="00806321"/>
    <w:rsid w:val="008103F8"/>
    <w:rsid w:val="00811888"/>
    <w:rsid w:val="00811D68"/>
    <w:rsid w:val="00813210"/>
    <w:rsid w:val="008215D8"/>
    <w:rsid w:val="00830C28"/>
    <w:rsid w:val="00834A9A"/>
    <w:rsid w:val="00841708"/>
    <w:rsid w:val="0085448E"/>
    <w:rsid w:val="00871645"/>
    <w:rsid w:val="00880A71"/>
    <w:rsid w:val="00892451"/>
    <w:rsid w:val="008A2148"/>
    <w:rsid w:val="008A2B9C"/>
    <w:rsid w:val="008B1C5F"/>
    <w:rsid w:val="008B27B1"/>
    <w:rsid w:val="008B63F2"/>
    <w:rsid w:val="008D6DD2"/>
    <w:rsid w:val="008E6A2B"/>
    <w:rsid w:val="0090081F"/>
    <w:rsid w:val="00906552"/>
    <w:rsid w:val="0091328B"/>
    <w:rsid w:val="0091688D"/>
    <w:rsid w:val="0091737E"/>
    <w:rsid w:val="00927996"/>
    <w:rsid w:val="00934140"/>
    <w:rsid w:val="00935DB5"/>
    <w:rsid w:val="009420C3"/>
    <w:rsid w:val="00961868"/>
    <w:rsid w:val="00961911"/>
    <w:rsid w:val="00961F72"/>
    <w:rsid w:val="0096493A"/>
    <w:rsid w:val="00966D33"/>
    <w:rsid w:val="00974CBA"/>
    <w:rsid w:val="0098169A"/>
    <w:rsid w:val="00992A75"/>
    <w:rsid w:val="00994C67"/>
    <w:rsid w:val="009A75AA"/>
    <w:rsid w:val="009B54E8"/>
    <w:rsid w:val="009B773D"/>
    <w:rsid w:val="009C2E14"/>
    <w:rsid w:val="009D2123"/>
    <w:rsid w:val="009D2711"/>
    <w:rsid w:val="009D7451"/>
    <w:rsid w:val="009E5497"/>
    <w:rsid w:val="009F11BD"/>
    <w:rsid w:val="009F1E28"/>
    <w:rsid w:val="00A01D8F"/>
    <w:rsid w:val="00A04776"/>
    <w:rsid w:val="00A10FE9"/>
    <w:rsid w:val="00A20EA8"/>
    <w:rsid w:val="00A2430E"/>
    <w:rsid w:val="00A2522F"/>
    <w:rsid w:val="00A27EED"/>
    <w:rsid w:val="00A439EA"/>
    <w:rsid w:val="00A528B2"/>
    <w:rsid w:val="00A53D6B"/>
    <w:rsid w:val="00A5434B"/>
    <w:rsid w:val="00A54D8F"/>
    <w:rsid w:val="00A55D8F"/>
    <w:rsid w:val="00A56661"/>
    <w:rsid w:val="00A74816"/>
    <w:rsid w:val="00A75035"/>
    <w:rsid w:val="00A764E0"/>
    <w:rsid w:val="00A77B35"/>
    <w:rsid w:val="00A92F92"/>
    <w:rsid w:val="00A97699"/>
    <w:rsid w:val="00AA2012"/>
    <w:rsid w:val="00AB2315"/>
    <w:rsid w:val="00AB6BA8"/>
    <w:rsid w:val="00AC6F20"/>
    <w:rsid w:val="00AC7E2A"/>
    <w:rsid w:val="00AD08FF"/>
    <w:rsid w:val="00AD3EDF"/>
    <w:rsid w:val="00AD7701"/>
    <w:rsid w:val="00AE3693"/>
    <w:rsid w:val="00AE7714"/>
    <w:rsid w:val="00AF1D01"/>
    <w:rsid w:val="00AF2280"/>
    <w:rsid w:val="00AF2EED"/>
    <w:rsid w:val="00AF470E"/>
    <w:rsid w:val="00AF7259"/>
    <w:rsid w:val="00AF7E5B"/>
    <w:rsid w:val="00B16229"/>
    <w:rsid w:val="00B20DAE"/>
    <w:rsid w:val="00B2351F"/>
    <w:rsid w:val="00B247DA"/>
    <w:rsid w:val="00B2520A"/>
    <w:rsid w:val="00B26218"/>
    <w:rsid w:val="00B31BE1"/>
    <w:rsid w:val="00B3254E"/>
    <w:rsid w:val="00B34C16"/>
    <w:rsid w:val="00B3530F"/>
    <w:rsid w:val="00B37473"/>
    <w:rsid w:val="00B410A1"/>
    <w:rsid w:val="00B4716F"/>
    <w:rsid w:val="00B71B3F"/>
    <w:rsid w:val="00B755D0"/>
    <w:rsid w:val="00B82861"/>
    <w:rsid w:val="00B87946"/>
    <w:rsid w:val="00B949C8"/>
    <w:rsid w:val="00B94D3C"/>
    <w:rsid w:val="00BA0882"/>
    <w:rsid w:val="00BA4261"/>
    <w:rsid w:val="00BB6D7D"/>
    <w:rsid w:val="00BC14B8"/>
    <w:rsid w:val="00BD4D45"/>
    <w:rsid w:val="00BE525A"/>
    <w:rsid w:val="00BF7500"/>
    <w:rsid w:val="00C070D9"/>
    <w:rsid w:val="00C07433"/>
    <w:rsid w:val="00C14C68"/>
    <w:rsid w:val="00C15420"/>
    <w:rsid w:val="00C2784D"/>
    <w:rsid w:val="00C33642"/>
    <w:rsid w:val="00C45284"/>
    <w:rsid w:val="00C54964"/>
    <w:rsid w:val="00C57D28"/>
    <w:rsid w:val="00C704F2"/>
    <w:rsid w:val="00C83D34"/>
    <w:rsid w:val="00C856C5"/>
    <w:rsid w:val="00C87A59"/>
    <w:rsid w:val="00C93AD3"/>
    <w:rsid w:val="00C94C51"/>
    <w:rsid w:val="00C96458"/>
    <w:rsid w:val="00C96BFA"/>
    <w:rsid w:val="00CA0711"/>
    <w:rsid w:val="00CB08C7"/>
    <w:rsid w:val="00CB419D"/>
    <w:rsid w:val="00CC4BEB"/>
    <w:rsid w:val="00CC622F"/>
    <w:rsid w:val="00CD03EB"/>
    <w:rsid w:val="00CF1B95"/>
    <w:rsid w:val="00CF3E48"/>
    <w:rsid w:val="00CF5A85"/>
    <w:rsid w:val="00D02C69"/>
    <w:rsid w:val="00D12F33"/>
    <w:rsid w:val="00D1314D"/>
    <w:rsid w:val="00D22A22"/>
    <w:rsid w:val="00D2494D"/>
    <w:rsid w:val="00D3321A"/>
    <w:rsid w:val="00D34285"/>
    <w:rsid w:val="00D46664"/>
    <w:rsid w:val="00D53424"/>
    <w:rsid w:val="00D6343D"/>
    <w:rsid w:val="00D70D4D"/>
    <w:rsid w:val="00D7125B"/>
    <w:rsid w:val="00D74C2B"/>
    <w:rsid w:val="00D8484C"/>
    <w:rsid w:val="00D87235"/>
    <w:rsid w:val="00D90D63"/>
    <w:rsid w:val="00D97367"/>
    <w:rsid w:val="00DA3B38"/>
    <w:rsid w:val="00DB7795"/>
    <w:rsid w:val="00DC05BF"/>
    <w:rsid w:val="00DC2885"/>
    <w:rsid w:val="00DE36B9"/>
    <w:rsid w:val="00DE5DFA"/>
    <w:rsid w:val="00DF75CE"/>
    <w:rsid w:val="00DF7C56"/>
    <w:rsid w:val="00E0224F"/>
    <w:rsid w:val="00E12E13"/>
    <w:rsid w:val="00E15629"/>
    <w:rsid w:val="00E20E52"/>
    <w:rsid w:val="00E23A06"/>
    <w:rsid w:val="00E26D94"/>
    <w:rsid w:val="00E329D7"/>
    <w:rsid w:val="00E331D0"/>
    <w:rsid w:val="00E44D7C"/>
    <w:rsid w:val="00E47882"/>
    <w:rsid w:val="00E61013"/>
    <w:rsid w:val="00E62F84"/>
    <w:rsid w:val="00E66933"/>
    <w:rsid w:val="00E66B55"/>
    <w:rsid w:val="00E739A1"/>
    <w:rsid w:val="00E74765"/>
    <w:rsid w:val="00E840EE"/>
    <w:rsid w:val="00E9211C"/>
    <w:rsid w:val="00E925A1"/>
    <w:rsid w:val="00E953CD"/>
    <w:rsid w:val="00E97835"/>
    <w:rsid w:val="00EA1616"/>
    <w:rsid w:val="00EA5400"/>
    <w:rsid w:val="00EB18B2"/>
    <w:rsid w:val="00EB325D"/>
    <w:rsid w:val="00EB55F9"/>
    <w:rsid w:val="00EB7DDC"/>
    <w:rsid w:val="00ED04B9"/>
    <w:rsid w:val="00ED41DD"/>
    <w:rsid w:val="00EE1512"/>
    <w:rsid w:val="00EE384E"/>
    <w:rsid w:val="00EE4E4C"/>
    <w:rsid w:val="00EE50FC"/>
    <w:rsid w:val="00EF1FD4"/>
    <w:rsid w:val="00EF608F"/>
    <w:rsid w:val="00EF60BB"/>
    <w:rsid w:val="00EF6A15"/>
    <w:rsid w:val="00F0108A"/>
    <w:rsid w:val="00F025B3"/>
    <w:rsid w:val="00F027BE"/>
    <w:rsid w:val="00F11551"/>
    <w:rsid w:val="00F241AF"/>
    <w:rsid w:val="00F35D54"/>
    <w:rsid w:val="00F454F3"/>
    <w:rsid w:val="00F653EA"/>
    <w:rsid w:val="00F70FC5"/>
    <w:rsid w:val="00F71ABE"/>
    <w:rsid w:val="00F73D33"/>
    <w:rsid w:val="00F8177A"/>
    <w:rsid w:val="00F84EEB"/>
    <w:rsid w:val="00F86B0D"/>
    <w:rsid w:val="00F90FFF"/>
    <w:rsid w:val="00F962AB"/>
    <w:rsid w:val="00FA4D9A"/>
    <w:rsid w:val="00FA7349"/>
    <w:rsid w:val="00FB1878"/>
    <w:rsid w:val="00FB3A1D"/>
    <w:rsid w:val="00FB4635"/>
    <w:rsid w:val="00FB7CC2"/>
    <w:rsid w:val="00FC66BF"/>
    <w:rsid w:val="00FC6FCC"/>
    <w:rsid w:val="00FC7F1C"/>
    <w:rsid w:val="00FD6684"/>
    <w:rsid w:val="00FE4ABE"/>
    <w:rsid w:val="00FF144C"/>
    <w:rsid w:val="00FF392A"/>
    <w:rsid w:val="00FF3B77"/>
    <w:rsid w:val="00FF50C1"/>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92BF31A"/>
  <w15:docId w15:val="{0867403B-66B0-4734-A18B-2A3378C3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112"/>
      <w:outlineLvl w:val="0"/>
    </w:pPr>
    <w:rPr>
      <w:b/>
      <w:bCs/>
      <w:sz w:val="32"/>
      <w:szCs w:val="32"/>
    </w:rPr>
  </w:style>
  <w:style w:type="paragraph" w:styleId="Heading2">
    <w:name w:val="heading 2"/>
    <w:basedOn w:val="Normal"/>
    <w:uiPriority w:val="1"/>
    <w:qFormat/>
    <w:pPr>
      <w:ind w:left="1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64"/>
      <w:ind w:left="47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97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2E"/>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AF470E"/>
    <w:rPr>
      <w:sz w:val="16"/>
      <w:szCs w:val="16"/>
    </w:rPr>
  </w:style>
  <w:style w:type="paragraph" w:styleId="CommentText">
    <w:name w:val="annotation text"/>
    <w:basedOn w:val="Normal"/>
    <w:link w:val="CommentTextChar"/>
    <w:uiPriority w:val="99"/>
    <w:semiHidden/>
    <w:unhideWhenUsed/>
    <w:rsid w:val="00AF470E"/>
    <w:rPr>
      <w:sz w:val="20"/>
      <w:szCs w:val="20"/>
    </w:rPr>
  </w:style>
  <w:style w:type="character" w:customStyle="1" w:styleId="CommentTextChar">
    <w:name w:val="Comment Text Char"/>
    <w:basedOn w:val="DefaultParagraphFont"/>
    <w:link w:val="CommentText"/>
    <w:uiPriority w:val="99"/>
    <w:semiHidden/>
    <w:rsid w:val="00AF470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F470E"/>
    <w:rPr>
      <w:b/>
      <w:bCs/>
    </w:rPr>
  </w:style>
  <w:style w:type="character" w:customStyle="1" w:styleId="CommentSubjectChar">
    <w:name w:val="Comment Subject Char"/>
    <w:basedOn w:val="CommentTextChar"/>
    <w:link w:val="CommentSubject"/>
    <w:uiPriority w:val="99"/>
    <w:semiHidden/>
    <w:rsid w:val="00AF470E"/>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E329D7"/>
    <w:pPr>
      <w:tabs>
        <w:tab w:val="center" w:pos="4513"/>
        <w:tab w:val="right" w:pos="9026"/>
      </w:tabs>
    </w:pPr>
  </w:style>
  <w:style w:type="character" w:customStyle="1" w:styleId="HeaderChar">
    <w:name w:val="Header Char"/>
    <w:basedOn w:val="DefaultParagraphFont"/>
    <w:link w:val="Header"/>
    <w:uiPriority w:val="99"/>
    <w:rsid w:val="00E329D7"/>
    <w:rPr>
      <w:rFonts w:ascii="Arial" w:eastAsia="Arial" w:hAnsi="Arial" w:cs="Arial"/>
      <w:lang w:val="en-GB" w:eastAsia="en-GB" w:bidi="en-GB"/>
    </w:rPr>
  </w:style>
  <w:style w:type="paragraph" w:styleId="Footer">
    <w:name w:val="footer"/>
    <w:basedOn w:val="Normal"/>
    <w:link w:val="FooterChar"/>
    <w:uiPriority w:val="99"/>
    <w:unhideWhenUsed/>
    <w:rsid w:val="00E329D7"/>
    <w:pPr>
      <w:tabs>
        <w:tab w:val="center" w:pos="4513"/>
        <w:tab w:val="right" w:pos="9026"/>
      </w:tabs>
    </w:pPr>
  </w:style>
  <w:style w:type="character" w:customStyle="1" w:styleId="FooterChar">
    <w:name w:val="Footer Char"/>
    <w:basedOn w:val="DefaultParagraphFont"/>
    <w:link w:val="Footer"/>
    <w:uiPriority w:val="99"/>
    <w:rsid w:val="00E329D7"/>
    <w:rPr>
      <w:rFonts w:ascii="Arial" w:eastAsia="Arial" w:hAnsi="Arial" w:cs="Arial"/>
      <w:lang w:val="en-GB" w:eastAsia="en-GB" w:bidi="en-GB"/>
    </w:rPr>
  </w:style>
  <w:style w:type="paragraph" w:styleId="TOCHeading">
    <w:name w:val="TOC Heading"/>
    <w:basedOn w:val="Heading1"/>
    <w:next w:val="Normal"/>
    <w:uiPriority w:val="39"/>
    <w:unhideWhenUsed/>
    <w:qFormat/>
    <w:rsid w:val="0079274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eastAsia="en-US" w:bidi="ar-SA"/>
    </w:rPr>
  </w:style>
  <w:style w:type="paragraph" w:styleId="TOC1">
    <w:name w:val="toc 1"/>
    <w:basedOn w:val="Normal"/>
    <w:next w:val="Normal"/>
    <w:autoRedefine/>
    <w:uiPriority w:val="39"/>
    <w:unhideWhenUsed/>
    <w:rsid w:val="002E7726"/>
    <w:pPr>
      <w:tabs>
        <w:tab w:val="right" w:leader="dot" w:pos="9830"/>
      </w:tabs>
      <w:spacing w:after="100"/>
    </w:pPr>
    <w:rPr>
      <w:noProof/>
      <w:sz w:val="24"/>
      <w:szCs w:val="24"/>
    </w:rPr>
  </w:style>
  <w:style w:type="paragraph" w:styleId="TOC2">
    <w:name w:val="toc 2"/>
    <w:basedOn w:val="Normal"/>
    <w:next w:val="Normal"/>
    <w:autoRedefine/>
    <w:uiPriority w:val="39"/>
    <w:unhideWhenUsed/>
    <w:rsid w:val="00792747"/>
    <w:pPr>
      <w:spacing w:after="100"/>
      <w:ind w:left="220"/>
    </w:pPr>
  </w:style>
  <w:style w:type="character" w:styleId="Hyperlink">
    <w:name w:val="Hyperlink"/>
    <w:basedOn w:val="DefaultParagraphFont"/>
    <w:uiPriority w:val="99"/>
    <w:unhideWhenUsed/>
    <w:rsid w:val="00792747"/>
    <w:rPr>
      <w:color w:val="0000FF" w:themeColor="hyperlink"/>
      <w:u w:val="single"/>
    </w:rPr>
  </w:style>
  <w:style w:type="character" w:customStyle="1" w:styleId="BodyTextChar">
    <w:name w:val="Body Text Char"/>
    <w:basedOn w:val="DefaultParagraphFont"/>
    <w:link w:val="BodyText"/>
    <w:uiPriority w:val="1"/>
    <w:rsid w:val="00490EFF"/>
    <w:rPr>
      <w:rFonts w:ascii="Arial" w:eastAsia="Arial" w:hAnsi="Arial" w:cs="Arial"/>
      <w:sz w:val="24"/>
      <w:szCs w:val="24"/>
      <w:lang w:val="en-GB" w:eastAsia="en-GB" w:bidi="en-GB"/>
    </w:rPr>
  </w:style>
  <w:style w:type="paragraph" w:styleId="EndnoteText">
    <w:name w:val="endnote text"/>
    <w:basedOn w:val="Normal"/>
    <w:link w:val="EndnoteTextChar"/>
    <w:uiPriority w:val="99"/>
    <w:semiHidden/>
    <w:unhideWhenUsed/>
    <w:rsid w:val="00F70FC5"/>
    <w:rPr>
      <w:sz w:val="20"/>
      <w:szCs w:val="20"/>
    </w:rPr>
  </w:style>
  <w:style w:type="character" w:customStyle="1" w:styleId="EndnoteTextChar">
    <w:name w:val="Endnote Text Char"/>
    <w:basedOn w:val="DefaultParagraphFont"/>
    <w:link w:val="EndnoteText"/>
    <w:uiPriority w:val="99"/>
    <w:semiHidden/>
    <w:rsid w:val="00F70FC5"/>
    <w:rPr>
      <w:rFonts w:ascii="Arial" w:eastAsia="Arial" w:hAnsi="Arial" w:cs="Arial"/>
      <w:sz w:val="20"/>
      <w:szCs w:val="20"/>
      <w:lang w:val="en-GB" w:eastAsia="en-GB" w:bidi="en-GB"/>
    </w:rPr>
  </w:style>
  <w:style w:type="character" w:styleId="EndnoteReference">
    <w:name w:val="endnote reference"/>
    <w:basedOn w:val="DefaultParagraphFont"/>
    <w:uiPriority w:val="99"/>
    <w:semiHidden/>
    <w:unhideWhenUsed/>
    <w:rsid w:val="00F70FC5"/>
    <w:rPr>
      <w:vertAlign w:val="superscript"/>
    </w:rPr>
  </w:style>
  <w:style w:type="paragraph" w:styleId="FootnoteText">
    <w:name w:val="footnote text"/>
    <w:basedOn w:val="Normal"/>
    <w:link w:val="FootnoteTextChar"/>
    <w:uiPriority w:val="99"/>
    <w:semiHidden/>
    <w:unhideWhenUsed/>
    <w:rsid w:val="006D3673"/>
    <w:rPr>
      <w:sz w:val="20"/>
      <w:szCs w:val="20"/>
    </w:rPr>
  </w:style>
  <w:style w:type="character" w:customStyle="1" w:styleId="FootnoteTextChar">
    <w:name w:val="Footnote Text Char"/>
    <w:basedOn w:val="DefaultParagraphFont"/>
    <w:link w:val="FootnoteText"/>
    <w:uiPriority w:val="99"/>
    <w:semiHidden/>
    <w:rsid w:val="006D3673"/>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6D3673"/>
    <w:rPr>
      <w:vertAlign w:val="superscript"/>
    </w:rPr>
  </w:style>
  <w:style w:type="paragraph" w:styleId="Revision">
    <w:name w:val="Revision"/>
    <w:hidden/>
    <w:uiPriority w:val="99"/>
    <w:semiHidden/>
    <w:rsid w:val="00027180"/>
    <w:pPr>
      <w:widowControl/>
      <w:autoSpaceDE/>
      <w:autoSpaceDN/>
    </w:pPr>
    <w:rPr>
      <w:rFonts w:ascii="Arial" w:eastAsia="Arial" w:hAnsi="Arial" w:cs="Arial"/>
      <w:lang w:val="en-GB" w:eastAsia="en-GB" w:bidi="en-GB"/>
    </w:rPr>
  </w:style>
  <w:style w:type="character" w:customStyle="1" w:styleId="UnresolvedMention">
    <w:name w:val="Unresolved Mention"/>
    <w:basedOn w:val="DefaultParagraphFont"/>
    <w:uiPriority w:val="99"/>
    <w:semiHidden/>
    <w:unhideWhenUsed/>
    <w:rsid w:val="00F84EEB"/>
    <w:rPr>
      <w:color w:val="605E5C"/>
      <w:shd w:val="clear" w:color="auto" w:fill="E1DFDD"/>
    </w:rPr>
  </w:style>
  <w:style w:type="paragraph" w:customStyle="1" w:styleId="body">
    <w:name w:val="body"/>
    <w:basedOn w:val="Normal"/>
    <w:rsid w:val="003C689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3C6896"/>
  </w:style>
  <w:style w:type="table" w:styleId="TableGrid">
    <w:name w:val="Table Grid"/>
    <w:basedOn w:val="TableNormal"/>
    <w:uiPriority w:val="39"/>
    <w:rsid w:val="00994C67"/>
    <w:pPr>
      <w:widowControl/>
      <w:autoSpaceDE/>
      <w:autoSpaceDN/>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4C67"/>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 w:type="character" w:styleId="FollowedHyperlink">
    <w:name w:val="FollowedHyperlink"/>
    <w:basedOn w:val="DefaultParagraphFont"/>
    <w:uiPriority w:val="99"/>
    <w:semiHidden/>
    <w:unhideWhenUsed/>
    <w:rsid w:val="00C33642"/>
    <w:rPr>
      <w:color w:val="800080" w:themeColor="followedHyperlink"/>
      <w:u w:val="single"/>
    </w:rPr>
  </w:style>
  <w:style w:type="paragraph" w:customStyle="1" w:styleId="Reportcovertitle">
    <w:name w:val="Report cover title"/>
    <w:basedOn w:val="Normal"/>
    <w:qFormat/>
    <w:rsid w:val="006D2B09"/>
    <w:pPr>
      <w:widowControl/>
      <w:autoSpaceDE/>
      <w:autoSpaceDN/>
      <w:spacing w:before="1600"/>
    </w:pPr>
    <w:rPr>
      <w:rFonts w:eastAsiaTheme="minorEastAsia" w:cstheme="minorBidi"/>
      <w:b/>
      <w:color w:val="A00054"/>
      <w:sz w:val="72"/>
      <w:szCs w:val="7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41188">
      <w:bodyDiv w:val="1"/>
      <w:marLeft w:val="0"/>
      <w:marRight w:val="0"/>
      <w:marTop w:val="0"/>
      <w:marBottom w:val="0"/>
      <w:divBdr>
        <w:top w:val="none" w:sz="0" w:space="0" w:color="auto"/>
        <w:left w:val="none" w:sz="0" w:space="0" w:color="auto"/>
        <w:bottom w:val="none" w:sz="0" w:space="0" w:color="auto"/>
        <w:right w:val="none" w:sz="0" w:space="0" w:color="auto"/>
      </w:divBdr>
      <w:divsChild>
        <w:div w:id="76850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059093">
              <w:marLeft w:val="0"/>
              <w:marRight w:val="0"/>
              <w:marTop w:val="0"/>
              <w:marBottom w:val="0"/>
              <w:divBdr>
                <w:top w:val="none" w:sz="0" w:space="0" w:color="auto"/>
                <w:left w:val="none" w:sz="0" w:space="0" w:color="auto"/>
                <w:bottom w:val="none" w:sz="0" w:space="0" w:color="auto"/>
                <w:right w:val="none" w:sz="0" w:space="0" w:color="auto"/>
              </w:divBdr>
              <w:divsChild>
                <w:div w:id="948706742">
                  <w:marLeft w:val="0"/>
                  <w:marRight w:val="0"/>
                  <w:marTop w:val="0"/>
                  <w:marBottom w:val="0"/>
                  <w:divBdr>
                    <w:top w:val="none" w:sz="0" w:space="0" w:color="auto"/>
                    <w:left w:val="none" w:sz="0" w:space="0" w:color="auto"/>
                    <w:bottom w:val="none" w:sz="0" w:space="0" w:color="auto"/>
                    <w:right w:val="none" w:sz="0" w:space="0" w:color="auto"/>
                  </w:divBdr>
                  <w:divsChild>
                    <w:div w:id="530337105">
                      <w:marLeft w:val="0"/>
                      <w:marRight w:val="0"/>
                      <w:marTop w:val="0"/>
                      <w:marBottom w:val="0"/>
                      <w:divBdr>
                        <w:top w:val="none" w:sz="0" w:space="0" w:color="auto"/>
                        <w:left w:val="none" w:sz="0" w:space="0" w:color="auto"/>
                        <w:bottom w:val="none" w:sz="0" w:space="0" w:color="auto"/>
                        <w:right w:val="none" w:sz="0" w:space="0" w:color="auto"/>
                      </w:divBdr>
                      <w:divsChild>
                        <w:div w:id="913275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82647">
                              <w:marLeft w:val="0"/>
                              <w:marRight w:val="0"/>
                              <w:marTop w:val="0"/>
                              <w:marBottom w:val="0"/>
                              <w:divBdr>
                                <w:top w:val="none" w:sz="0" w:space="0" w:color="auto"/>
                                <w:left w:val="none" w:sz="0" w:space="0" w:color="auto"/>
                                <w:bottom w:val="none" w:sz="0" w:space="0" w:color="auto"/>
                                <w:right w:val="none" w:sz="0" w:space="0" w:color="auto"/>
                              </w:divBdr>
                              <w:divsChild>
                                <w:div w:id="23142555">
                                  <w:marLeft w:val="0"/>
                                  <w:marRight w:val="0"/>
                                  <w:marTop w:val="0"/>
                                  <w:marBottom w:val="0"/>
                                  <w:divBdr>
                                    <w:top w:val="none" w:sz="0" w:space="0" w:color="auto"/>
                                    <w:left w:val="none" w:sz="0" w:space="0" w:color="auto"/>
                                    <w:bottom w:val="none" w:sz="0" w:space="0" w:color="auto"/>
                                    <w:right w:val="none" w:sz="0" w:space="0" w:color="auto"/>
                                  </w:divBdr>
                                </w:div>
                                <w:div w:id="134304079">
                                  <w:marLeft w:val="0"/>
                                  <w:marRight w:val="0"/>
                                  <w:marTop w:val="0"/>
                                  <w:marBottom w:val="0"/>
                                  <w:divBdr>
                                    <w:top w:val="none" w:sz="0" w:space="0" w:color="auto"/>
                                    <w:left w:val="none" w:sz="0" w:space="0" w:color="auto"/>
                                    <w:bottom w:val="none" w:sz="0" w:space="0" w:color="auto"/>
                                    <w:right w:val="none" w:sz="0" w:space="0" w:color="auto"/>
                                  </w:divBdr>
                                </w:div>
                                <w:div w:id="155461725">
                                  <w:marLeft w:val="0"/>
                                  <w:marRight w:val="0"/>
                                  <w:marTop w:val="0"/>
                                  <w:marBottom w:val="0"/>
                                  <w:divBdr>
                                    <w:top w:val="none" w:sz="0" w:space="0" w:color="auto"/>
                                    <w:left w:val="none" w:sz="0" w:space="0" w:color="auto"/>
                                    <w:bottom w:val="none" w:sz="0" w:space="0" w:color="auto"/>
                                    <w:right w:val="none" w:sz="0" w:space="0" w:color="auto"/>
                                  </w:divBdr>
                                </w:div>
                                <w:div w:id="214007094">
                                  <w:marLeft w:val="0"/>
                                  <w:marRight w:val="0"/>
                                  <w:marTop w:val="0"/>
                                  <w:marBottom w:val="0"/>
                                  <w:divBdr>
                                    <w:top w:val="none" w:sz="0" w:space="0" w:color="auto"/>
                                    <w:left w:val="none" w:sz="0" w:space="0" w:color="auto"/>
                                    <w:bottom w:val="none" w:sz="0" w:space="0" w:color="auto"/>
                                    <w:right w:val="none" w:sz="0" w:space="0" w:color="auto"/>
                                  </w:divBdr>
                                </w:div>
                                <w:div w:id="239489014">
                                  <w:marLeft w:val="0"/>
                                  <w:marRight w:val="0"/>
                                  <w:marTop w:val="0"/>
                                  <w:marBottom w:val="0"/>
                                  <w:divBdr>
                                    <w:top w:val="none" w:sz="0" w:space="0" w:color="auto"/>
                                    <w:left w:val="none" w:sz="0" w:space="0" w:color="auto"/>
                                    <w:bottom w:val="none" w:sz="0" w:space="0" w:color="auto"/>
                                    <w:right w:val="none" w:sz="0" w:space="0" w:color="auto"/>
                                  </w:divBdr>
                                </w:div>
                                <w:div w:id="261184058">
                                  <w:marLeft w:val="0"/>
                                  <w:marRight w:val="0"/>
                                  <w:marTop w:val="0"/>
                                  <w:marBottom w:val="0"/>
                                  <w:divBdr>
                                    <w:top w:val="none" w:sz="0" w:space="0" w:color="auto"/>
                                    <w:left w:val="none" w:sz="0" w:space="0" w:color="auto"/>
                                    <w:bottom w:val="none" w:sz="0" w:space="0" w:color="auto"/>
                                    <w:right w:val="none" w:sz="0" w:space="0" w:color="auto"/>
                                  </w:divBdr>
                                </w:div>
                                <w:div w:id="281618989">
                                  <w:marLeft w:val="0"/>
                                  <w:marRight w:val="0"/>
                                  <w:marTop w:val="0"/>
                                  <w:marBottom w:val="0"/>
                                  <w:divBdr>
                                    <w:top w:val="none" w:sz="0" w:space="0" w:color="auto"/>
                                    <w:left w:val="none" w:sz="0" w:space="0" w:color="auto"/>
                                    <w:bottom w:val="none" w:sz="0" w:space="0" w:color="auto"/>
                                    <w:right w:val="none" w:sz="0" w:space="0" w:color="auto"/>
                                  </w:divBdr>
                                </w:div>
                                <w:div w:id="315182635">
                                  <w:marLeft w:val="0"/>
                                  <w:marRight w:val="0"/>
                                  <w:marTop w:val="0"/>
                                  <w:marBottom w:val="0"/>
                                  <w:divBdr>
                                    <w:top w:val="none" w:sz="0" w:space="0" w:color="auto"/>
                                    <w:left w:val="none" w:sz="0" w:space="0" w:color="auto"/>
                                    <w:bottom w:val="none" w:sz="0" w:space="0" w:color="auto"/>
                                    <w:right w:val="none" w:sz="0" w:space="0" w:color="auto"/>
                                  </w:divBdr>
                                </w:div>
                                <w:div w:id="320961305">
                                  <w:marLeft w:val="0"/>
                                  <w:marRight w:val="0"/>
                                  <w:marTop w:val="0"/>
                                  <w:marBottom w:val="0"/>
                                  <w:divBdr>
                                    <w:top w:val="none" w:sz="0" w:space="0" w:color="auto"/>
                                    <w:left w:val="none" w:sz="0" w:space="0" w:color="auto"/>
                                    <w:bottom w:val="none" w:sz="0" w:space="0" w:color="auto"/>
                                    <w:right w:val="none" w:sz="0" w:space="0" w:color="auto"/>
                                  </w:divBdr>
                                </w:div>
                                <w:div w:id="379861015">
                                  <w:marLeft w:val="0"/>
                                  <w:marRight w:val="0"/>
                                  <w:marTop w:val="0"/>
                                  <w:marBottom w:val="0"/>
                                  <w:divBdr>
                                    <w:top w:val="none" w:sz="0" w:space="0" w:color="auto"/>
                                    <w:left w:val="none" w:sz="0" w:space="0" w:color="auto"/>
                                    <w:bottom w:val="none" w:sz="0" w:space="0" w:color="auto"/>
                                    <w:right w:val="none" w:sz="0" w:space="0" w:color="auto"/>
                                  </w:divBdr>
                                </w:div>
                                <w:div w:id="391003235">
                                  <w:marLeft w:val="0"/>
                                  <w:marRight w:val="0"/>
                                  <w:marTop w:val="0"/>
                                  <w:marBottom w:val="0"/>
                                  <w:divBdr>
                                    <w:top w:val="none" w:sz="0" w:space="0" w:color="auto"/>
                                    <w:left w:val="none" w:sz="0" w:space="0" w:color="auto"/>
                                    <w:bottom w:val="none" w:sz="0" w:space="0" w:color="auto"/>
                                    <w:right w:val="none" w:sz="0" w:space="0" w:color="auto"/>
                                  </w:divBdr>
                                </w:div>
                                <w:div w:id="583686784">
                                  <w:marLeft w:val="0"/>
                                  <w:marRight w:val="0"/>
                                  <w:marTop w:val="0"/>
                                  <w:marBottom w:val="0"/>
                                  <w:divBdr>
                                    <w:top w:val="none" w:sz="0" w:space="0" w:color="auto"/>
                                    <w:left w:val="none" w:sz="0" w:space="0" w:color="auto"/>
                                    <w:bottom w:val="none" w:sz="0" w:space="0" w:color="auto"/>
                                    <w:right w:val="none" w:sz="0" w:space="0" w:color="auto"/>
                                  </w:divBdr>
                                </w:div>
                                <w:div w:id="675306138">
                                  <w:marLeft w:val="0"/>
                                  <w:marRight w:val="0"/>
                                  <w:marTop w:val="0"/>
                                  <w:marBottom w:val="0"/>
                                  <w:divBdr>
                                    <w:top w:val="none" w:sz="0" w:space="0" w:color="auto"/>
                                    <w:left w:val="none" w:sz="0" w:space="0" w:color="auto"/>
                                    <w:bottom w:val="none" w:sz="0" w:space="0" w:color="auto"/>
                                    <w:right w:val="none" w:sz="0" w:space="0" w:color="auto"/>
                                  </w:divBdr>
                                </w:div>
                                <w:div w:id="728766282">
                                  <w:marLeft w:val="0"/>
                                  <w:marRight w:val="0"/>
                                  <w:marTop w:val="0"/>
                                  <w:marBottom w:val="0"/>
                                  <w:divBdr>
                                    <w:top w:val="none" w:sz="0" w:space="0" w:color="auto"/>
                                    <w:left w:val="none" w:sz="0" w:space="0" w:color="auto"/>
                                    <w:bottom w:val="none" w:sz="0" w:space="0" w:color="auto"/>
                                    <w:right w:val="none" w:sz="0" w:space="0" w:color="auto"/>
                                  </w:divBdr>
                                </w:div>
                                <w:div w:id="819538971">
                                  <w:marLeft w:val="0"/>
                                  <w:marRight w:val="0"/>
                                  <w:marTop w:val="0"/>
                                  <w:marBottom w:val="0"/>
                                  <w:divBdr>
                                    <w:top w:val="none" w:sz="0" w:space="0" w:color="auto"/>
                                    <w:left w:val="none" w:sz="0" w:space="0" w:color="auto"/>
                                    <w:bottom w:val="none" w:sz="0" w:space="0" w:color="auto"/>
                                    <w:right w:val="none" w:sz="0" w:space="0" w:color="auto"/>
                                  </w:divBdr>
                                </w:div>
                                <w:div w:id="822237979">
                                  <w:marLeft w:val="0"/>
                                  <w:marRight w:val="0"/>
                                  <w:marTop w:val="0"/>
                                  <w:marBottom w:val="0"/>
                                  <w:divBdr>
                                    <w:top w:val="none" w:sz="0" w:space="0" w:color="auto"/>
                                    <w:left w:val="none" w:sz="0" w:space="0" w:color="auto"/>
                                    <w:bottom w:val="none" w:sz="0" w:space="0" w:color="auto"/>
                                    <w:right w:val="none" w:sz="0" w:space="0" w:color="auto"/>
                                  </w:divBdr>
                                </w:div>
                                <w:div w:id="857623682">
                                  <w:marLeft w:val="0"/>
                                  <w:marRight w:val="0"/>
                                  <w:marTop w:val="0"/>
                                  <w:marBottom w:val="0"/>
                                  <w:divBdr>
                                    <w:top w:val="none" w:sz="0" w:space="0" w:color="auto"/>
                                    <w:left w:val="none" w:sz="0" w:space="0" w:color="auto"/>
                                    <w:bottom w:val="none" w:sz="0" w:space="0" w:color="auto"/>
                                    <w:right w:val="none" w:sz="0" w:space="0" w:color="auto"/>
                                  </w:divBdr>
                                </w:div>
                                <w:div w:id="881163833">
                                  <w:marLeft w:val="0"/>
                                  <w:marRight w:val="0"/>
                                  <w:marTop w:val="0"/>
                                  <w:marBottom w:val="0"/>
                                  <w:divBdr>
                                    <w:top w:val="none" w:sz="0" w:space="0" w:color="auto"/>
                                    <w:left w:val="none" w:sz="0" w:space="0" w:color="auto"/>
                                    <w:bottom w:val="none" w:sz="0" w:space="0" w:color="auto"/>
                                    <w:right w:val="none" w:sz="0" w:space="0" w:color="auto"/>
                                  </w:divBdr>
                                </w:div>
                                <w:div w:id="933709213">
                                  <w:marLeft w:val="0"/>
                                  <w:marRight w:val="0"/>
                                  <w:marTop w:val="0"/>
                                  <w:marBottom w:val="0"/>
                                  <w:divBdr>
                                    <w:top w:val="none" w:sz="0" w:space="0" w:color="auto"/>
                                    <w:left w:val="none" w:sz="0" w:space="0" w:color="auto"/>
                                    <w:bottom w:val="none" w:sz="0" w:space="0" w:color="auto"/>
                                    <w:right w:val="none" w:sz="0" w:space="0" w:color="auto"/>
                                  </w:divBdr>
                                </w:div>
                                <w:div w:id="951208622">
                                  <w:marLeft w:val="0"/>
                                  <w:marRight w:val="0"/>
                                  <w:marTop w:val="0"/>
                                  <w:marBottom w:val="0"/>
                                  <w:divBdr>
                                    <w:top w:val="none" w:sz="0" w:space="0" w:color="auto"/>
                                    <w:left w:val="none" w:sz="0" w:space="0" w:color="auto"/>
                                    <w:bottom w:val="none" w:sz="0" w:space="0" w:color="auto"/>
                                    <w:right w:val="none" w:sz="0" w:space="0" w:color="auto"/>
                                  </w:divBdr>
                                </w:div>
                                <w:div w:id="963997892">
                                  <w:marLeft w:val="0"/>
                                  <w:marRight w:val="0"/>
                                  <w:marTop w:val="0"/>
                                  <w:marBottom w:val="0"/>
                                  <w:divBdr>
                                    <w:top w:val="none" w:sz="0" w:space="0" w:color="auto"/>
                                    <w:left w:val="none" w:sz="0" w:space="0" w:color="auto"/>
                                    <w:bottom w:val="none" w:sz="0" w:space="0" w:color="auto"/>
                                    <w:right w:val="none" w:sz="0" w:space="0" w:color="auto"/>
                                  </w:divBdr>
                                </w:div>
                                <w:div w:id="982733513">
                                  <w:marLeft w:val="0"/>
                                  <w:marRight w:val="0"/>
                                  <w:marTop w:val="0"/>
                                  <w:marBottom w:val="0"/>
                                  <w:divBdr>
                                    <w:top w:val="none" w:sz="0" w:space="0" w:color="auto"/>
                                    <w:left w:val="none" w:sz="0" w:space="0" w:color="auto"/>
                                    <w:bottom w:val="none" w:sz="0" w:space="0" w:color="auto"/>
                                    <w:right w:val="none" w:sz="0" w:space="0" w:color="auto"/>
                                  </w:divBdr>
                                </w:div>
                                <w:div w:id="1019623020">
                                  <w:marLeft w:val="0"/>
                                  <w:marRight w:val="0"/>
                                  <w:marTop w:val="0"/>
                                  <w:marBottom w:val="0"/>
                                  <w:divBdr>
                                    <w:top w:val="none" w:sz="0" w:space="0" w:color="auto"/>
                                    <w:left w:val="none" w:sz="0" w:space="0" w:color="auto"/>
                                    <w:bottom w:val="none" w:sz="0" w:space="0" w:color="auto"/>
                                    <w:right w:val="none" w:sz="0" w:space="0" w:color="auto"/>
                                  </w:divBdr>
                                </w:div>
                                <w:div w:id="1075542881">
                                  <w:marLeft w:val="0"/>
                                  <w:marRight w:val="0"/>
                                  <w:marTop w:val="0"/>
                                  <w:marBottom w:val="0"/>
                                  <w:divBdr>
                                    <w:top w:val="none" w:sz="0" w:space="0" w:color="auto"/>
                                    <w:left w:val="none" w:sz="0" w:space="0" w:color="auto"/>
                                    <w:bottom w:val="none" w:sz="0" w:space="0" w:color="auto"/>
                                    <w:right w:val="none" w:sz="0" w:space="0" w:color="auto"/>
                                  </w:divBdr>
                                </w:div>
                                <w:div w:id="1223830995">
                                  <w:marLeft w:val="0"/>
                                  <w:marRight w:val="0"/>
                                  <w:marTop w:val="0"/>
                                  <w:marBottom w:val="0"/>
                                  <w:divBdr>
                                    <w:top w:val="none" w:sz="0" w:space="0" w:color="auto"/>
                                    <w:left w:val="none" w:sz="0" w:space="0" w:color="auto"/>
                                    <w:bottom w:val="none" w:sz="0" w:space="0" w:color="auto"/>
                                    <w:right w:val="none" w:sz="0" w:space="0" w:color="auto"/>
                                  </w:divBdr>
                                </w:div>
                                <w:div w:id="1233613822">
                                  <w:marLeft w:val="0"/>
                                  <w:marRight w:val="0"/>
                                  <w:marTop w:val="0"/>
                                  <w:marBottom w:val="0"/>
                                  <w:divBdr>
                                    <w:top w:val="none" w:sz="0" w:space="0" w:color="auto"/>
                                    <w:left w:val="none" w:sz="0" w:space="0" w:color="auto"/>
                                    <w:bottom w:val="none" w:sz="0" w:space="0" w:color="auto"/>
                                    <w:right w:val="none" w:sz="0" w:space="0" w:color="auto"/>
                                  </w:divBdr>
                                </w:div>
                                <w:div w:id="1497964109">
                                  <w:marLeft w:val="0"/>
                                  <w:marRight w:val="0"/>
                                  <w:marTop w:val="0"/>
                                  <w:marBottom w:val="0"/>
                                  <w:divBdr>
                                    <w:top w:val="none" w:sz="0" w:space="0" w:color="auto"/>
                                    <w:left w:val="none" w:sz="0" w:space="0" w:color="auto"/>
                                    <w:bottom w:val="none" w:sz="0" w:space="0" w:color="auto"/>
                                    <w:right w:val="none" w:sz="0" w:space="0" w:color="auto"/>
                                  </w:divBdr>
                                </w:div>
                                <w:div w:id="1506238800">
                                  <w:marLeft w:val="0"/>
                                  <w:marRight w:val="0"/>
                                  <w:marTop w:val="0"/>
                                  <w:marBottom w:val="0"/>
                                  <w:divBdr>
                                    <w:top w:val="none" w:sz="0" w:space="0" w:color="auto"/>
                                    <w:left w:val="none" w:sz="0" w:space="0" w:color="auto"/>
                                    <w:bottom w:val="none" w:sz="0" w:space="0" w:color="auto"/>
                                    <w:right w:val="none" w:sz="0" w:space="0" w:color="auto"/>
                                  </w:divBdr>
                                </w:div>
                                <w:div w:id="1518159895">
                                  <w:marLeft w:val="0"/>
                                  <w:marRight w:val="0"/>
                                  <w:marTop w:val="0"/>
                                  <w:marBottom w:val="0"/>
                                  <w:divBdr>
                                    <w:top w:val="none" w:sz="0" w:space="0" w:color="auto"/>
                                    <w:left w:val="none" w:sz="0" w:space="0" w:color="auto"/>
                                    <w:bottom w:val="none" w:sz="0" w:space="0" w:color="auto"/>
                                    <w:right w:val="none" w:sz="0" w:space="0" w:color="auto"/>
                                  </w:divBdr>
                                </w:div>
                                <w:div w:id="1602373231">
                                  <w:marLeft w:val="0"/>
                                  <w:marRight w:val="0"/>
                                  <w:marTop w:val="0"/>
                                  <w:marBottom w:val="0"/>
                                  <w:divBdr>
                                    <w:top w:val="none" w:sz="0" w:space="0" w:color="auto"/>
                                    <w:left w:val="none" w:sz="0" w:space="0" w:color="auto"/>
                                    <w:bottom w:val="none" w:sz="0" w:space="0" w:color="auto"/>
                                    <w:right w:val="none" w:sz="0" w:space="0" w:color="auto"/>
                                  </w:divBdr>
                                </w:div>
                                <w:div w:id="1628513034">
                                  <w:marLeft w:val="0"/>
                                  <w:marRight w:val="0"/>
                                  <w:marTop w:val="0"/>
                                  <w:marBottom w:val="0"/>
                                  <w:divBdr>
                                    <w:top w:val="none" w:sz="0" w:space="0" w:color="auto"/>
                                    <w:left w:val="none" w:sz="0" w:space="0" w:color="auto"/>
                                    <w:bottom w:val="none" w:sz="0" w:space="0" w:color="auto"/>
                                    <w:right w:val="none" w:sz="0" w:space="0" w:color="auto"/>
                                  </w:divBdr>
                                </w:div>
                                <w:div w:id="1731070688">
                                  <w:marLeft w:val="0"/>
                                  <w:marRight w:val="0"/>
                                  <w:marTop w:val="0"/>
                                  <w:marBottom w:val="0"/>
                                  <w:divBdr>
                                    <w:top w:val="none" w:sz="0" w:space="0" w:color="auto"/>
                                    <w:left w:val="none" w:sz="0" w:space="0" w:color="auto"/>
                                    <w:bottom w:val="none" w:sz="0" w:space="0" w:color="auto"/>
                                    <w:right w:val="none" w:sz="0" w:space="0" w:color="auto"/>
                                  </w:divBdr>
                                </w:div>
                                <w:div w:id="1759398100">
                                  <w:marLeft w:val="0"/>
                                  <w:marRight w:val="0"/>
                                  <w:marTop w:val="0"/>
                                  <w:marBottom w:val="0"/>
                                  <w:divBdr>
                                    <w:top w:val="none" w:sz="0" w:space="0" w:color="auto"/>
                                    <w:left w:val="none" w:sz="0" w:space="0" w:color="auto"/>
                                    <w:bottom w:val="none" w:sz="0" w:space="0" w:color="auto"/>
                                    <w:right w:val="none" w:sz="0" w:space="0" w:color="auto"/>
                                  </w:divBdr>
                                </w:div>
                                <w:div w:id="1787583682">
                                  <w:marLeft w:val="0"/>
                                  <w:marRight w:val="0"/>
                                  <w:marTop w:val="0"/>
                                  <w:marBottom w:val="0"/>
                                  <w:divBdr>
                                    <w:top w:val="none" w:sz="0" w:space="0" w:color="auto"/>
                                    <w:left w:val="none" w:sz="0" w:space="0" w:color="auto"/>
                                    <w:bottom w:val="none" w:sz="0" w:space="0" w:color="auto"/>
                                    <w:right w:val="none" w:sz="0" w:space="0" w:color="auto"/>
                                  </w:divBdr>
                                </w:div>
                                <w:div w:id="1914967617">
                                  <w:marLeft w:val="0"/>
                                  <w:marRight w:val="0"/>
                                  <w:marTop w:val="0"/>
                                  <w:marBottom w:val="0"/>
                                  <w:divBdr>
                                    <w:top w:val="none" w:sz="0" w:space="0" w:color="auto"/>
                                    <w:left w:val="none" w:sz="0" w:space="0" w:color="auto"/>
                                    <w:bottom w:val="none" w:sz="0" w:space="0" w:color="auto"/>
                                    <w:right w:val="none" w:sz="0" w:space="0" w:color="auto"/>
                                  </w:divBdr>
                                </w:div>
                                <w:div w:id="1992977961">
                                  <w:marLeft w:val="0"/>
                                  <w:marRight w:val="0"/>
                                  <w:marTop w:val="0"/>
                                  <w:marBottom w:val="0"/>
                                  <w:divBdr>
                                    <w:top w:val="none" w:sz="0" w:space="0" w:color="auto"/>
                                    <w:left w:val="none" w:sz="0" w:space="0" w:color="auto"/>
                                    <w:bottom w:val="none" w:sz="0" w:space="0" w:color="auto"/>
                                    <w:right w:val="none" w:sz="0" w:space="0" w:color="auto"/>
                                  </w:divBdr>
                                </w:div>
                                <w:div w:id="2105492157">
                                  <w:marLeft w:val="0"/>
                                  <w:marRight w:val="0"/>
                                  <w:marTop w:val="0"/>
                                  <w:marBottom w:val="0"/>
                                  <w:divBdr>
                                    <w:top w:val="none" w:sz="0" w:space="0" w:color="auto"/>
                                    <w:left w:val="none" w:sz="0" w:space="0" w:color="auto"/>
                                    <w:bottom w:val="none" w:sz="0" w:space="0" w:color="auto"/>
                                    <w:right w:val="none" w:sz="0" w:space="0" w:color="auto"/>
                                  </w:divBdr>
                                </w:div>
                                <w:div w:id="21085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hee.nhs.uk/sites/default/files/documents/Multi-professional%20framework%20for%20advanced%20clinical%20practice%20in%20England.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BBC6-53EC-42C1-8042-00C0B5D4DA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7E76B-2D98-4A55-B437-76416FD7AE85}">
  <ds:schemaRefs>
    <ds:schemaRef ds:uri="http://schemas.microsoft.com/sharepoint/v3/contenttype/forms"/>
  </ds:schemaRefs>
</ds:datastoreItem>
</file>

<file path=customXml/itemProps3.xml><?xml version="1.0" encoding="utf-8"?>
<ds:datastoreItem xmlns:ds="http://schemas.openxmlformats.org/officeDocument/2006/customXml" ds:itemID="{4F4A75F6-15DC-4431-A9A4-66D1B17DF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42E8E-BDF9-4A21-82A6-3291115F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23302</CharactersWithSpaces>
  <SharedDoc>false</SharedDoc>
  <HLinks>
    <vt:vector size="114" baseType="variant">
      <vt:variant>
        <vt:i4>4128821</vt:i4>
      </vt:variant>
      <vt:variant>
        <vt:i4>111</vt:i4>
      </vt:variant>
      <vt:variant>
        <vt:i4>0</vt:i4>
      </vt:variant>
      <vt:variant>
        <vt:i4>5</vt:i4>
      </vt:variant>
      <vt:variant>
        <vt:lpwstr>https://www.hee.nhs.uk/sites/default/files/documents/Multi-professional framework for advanced clinical practice in England.pdf</vt:lpwstr>
      </vt:variant>
      <vt:variant>
        <vt:lpwstr/>
      </vt:variant>
      <vt:variant>
        <vt:i4>1703989</vt:i4>
      </vt:variant>
      <vt:variant>
        <vt:i4>104</vt:i4>
      </vt:variant>
      <vt:variant>
        <vt:i4>0</vt:i4>
      </vt:variant>
      <vt:variant>
        <vt:i4>5</vt:i4>
      </vt:variant>
      <vt:variant>
        <vt:lpwstr/>
      </vt:variant>
      <vt:variant>
        <vt:lpwstr>_Toc34395808</vt:lpwstr>
      </vt:variant>
      <vt:variant>
        <vt:i4>1376309</vt:i4>
      </vt:variant>
      <vt:variant>
        <vt:i4>98</vt:i4>
      </vt:variant>
      <vt:variant>
        <vt:i4>0</vt:i4>
      </vt:variant>
      <vt:variant>
        <vt:i4>5</vt:i4>
      </vt:variant>
      <vt:variant>
        <vt:lpwstr/>
      </vt:variant>
      <vt:variant>
        <vt:lpwstr>_Toc34395807</vt:lpwstr>
      </vt:variant>
      <vt:variant>
        <vt:i4>1310773</vt:i4>
      </vt:variant>
      <vt:variant>
        <vt:i4>92</vt:i4>
      </vt:variant>
      <vt:variant>
        <vt:i4>0</vt:i4>
      </vt:variant>
      <vt:variant>
        <vt:i4>5</vt:i4>
      </vt:variant>
      <vt:variant>
        <vt:lpwstr/>
      </vt:variant>
      <vt:variant>
        <vt:lpwstr>_Toc34395806</vt:lpwstr>
      </vt:variant>
      <vt:variant>
        <vt:i4>1507381</vt:i4>
      </vt:variant>
      <vt:variant>
        <vt:i4>86</vt:i4>
      </vt:variant>
      <vt:variant>
        <vt:i4>0</vt:i4>
      </vt:variant>
      <vt:variant>
        <vt:i4>5</vt:i4>
      </vt:variant>
      <vt:variant>
        <vt:lpwstr/>
      </vt:variant>
      <vt:variant>
        <vt:lpwstr>_Toc34395805</vt:lpwstr>
      </vt:variant>
      <vt:variant>
        <vt:i4>1441845</vt:i4>
      </vt:variant>
      <vt:variant>
        <vt:i4>80</vt:i4>
      </vt:variant>
      <vt:variant>
        <vt:i4>0</vt:i4>
      </vt:variant>
      <vt:variant>
        <vt:i4>5</vt:i4>
      </vt:variant>
      <vt:variant>
        <vt:lpwstr/>
      </vt:variant>
      <vt:variant>
        <vt:lpwstr>_Toc34395804</vt:lpwstr>
      </vt:variant>
      <vt:variant>
        <vt:i4>1114165</vt:i4>
      </vt:variant>
      <vt:variant>
        <vt:i4>74</vt:i4>
      </vt:variant>
      <vt:variant>
        <vt:i4>0</vt:i4>
      </vt:variant>
      <vt:variant>
        <vt:i4>5</vt:i4>
      </vt:variant>
      <vt:variant>
        <vt:lpwstr/>
      </vt:variant>
      <vt:variant>
        <vt:lpwstr>_Toc34395803</vt:lpwstr>
      </vt:variant>
      <vt:variant>
        <vt:i4>1048629</vt:i4>
      </vt:variant>
      <vt:variant>
        <vt:i4>68</vt:i4>
      </vt:variant>
      <vt:variant>
        <vt:i4>0</vt:i4>
      </vt:variant>
      <vt:variant>
        <vt:i4>5</vt:i4>
      </vt:variant>
      <vt:variant>
        <vt:lpwstr/>
      </vt:variant>
      <vt:variant>
        <vt:lpwstr>_Toc34395802</vt:lpwstr>
      </vt:variant>
      <vt:variant>
        <vt:i4>1245237</vt:i4>
      </vt:variant>
      <vt:variant>
        <vt:i4>62</vt:i4>
      </vt:variant>
      <vt:variant>
        <vt:i4>0</vt:i4>
      </vt:variant>
      <vt:variant>
        <vt:i4>5</vt:i4>
      </vt:variant>
      <vt:variant>
        <vt:lpwstr/>
      </vt:variant>
      <vt:variant>
        <vt:lpwstr>_Toc34395801</vt:lpwstr>
      </vt:variant>
      <vt:variant>
        <vt:i4>1179701</vt:i4>
      </vt:variant>
      <vt:variant>
        <vt:i4>56</vt:i4>
      </vt:variant>
      <vt:variant>
        <vt:i4>0</vt:i4>
      </vt:variant>
      <vt:variant>
        <vt:i4>5</vt:i4>
      </vt:variant>
      <vt:variant>
        <vt:lpwstr/>
      </vt:variant>
      <vt:variant>
        <vt:lpwstr>_Toc34395800</vt:lpwstr>
      </vt:variant>
      <vt:variant>
        <vt:i4>1310780</vt:i4>
      </vt:variant>
      <vt:variant>
        <vt:i4>50</vt:i4>
      </vt:variant>
      <vt:variant>
        <vt:i4>0</vt:i4>
      </vt:variant>
      <vt:variant>
        <vt:i4>5</vt:i4>
      </vt:variant>
      <vt:variant>
        <vt:lpwstr/>
      </vt:variant>
      <vt:variant>
        <vt:lpwstr>_Toc34395799</vt:lpwstr>
      </vt:variant>
      <vt:variant>
        <vt:i4>1376316</vt:i4>
      </vt:variant>
      <vt:variant>
        <vt:i4>44</vt:i4>
      </vt:variant>
      <vt:variant>
        <vt:i4>0</vt:i4>
      </vt:variant>
      <vt:variant>
        <vt:i4>5</vt:i4>
      </vt:variant>
      <vt:variant>
        <vt:lpwstr/>
      </vt:variant>
      <vt:variant>
        <vt:lpwstr>_Toc34395798</vt:lpwstr>
      </vt:variant>
      <vt:variant>
        <vt:i4>1703996</vt:i4>
      </vt:variant>
      <vt:variant>
        <vt:i4>38</vt:i4>
      </vt:variant>
      <vt:variant>
        <vt:i4>0</vt:i4>
      </vt:variant>
      <vt:variant>
        <vt:i4>5</vt:i4>
      </vt:variant>
      <vt:variant>
        <vt:lpwstr/>
      </vt:variant>
      <vt:variant>
        <vt:lpwstr>_Toc34395797</vt:lpwstr>
      </vt:variant>
      <vt:variant>
        <vt:i4>1769532</vt:i4>
      </vt:variant>
      <vt:variant>
        <vt:i4>32</vt:i4>
      </vt:variant>
      <vt:variant>
        <vt:i4>0</vt:i4>
      </vt:variant>
      <vt:variant>
        <vt:i4>5</vt:i4>
      </vt:variant>
      <vt:variant>
        <vt:lpwstr/>
      </vt:variant>
      <vt:variant>
        <vt:lpwstr>_Toc34395796</vt:lpwstr>
      </vt:variant>
      <vt:variant>
        <vt:i4>1572924</vt:i4>
      </vt:variant>
      <vt:variant>
        <vt:i4>26</vt:i4>
      </vt:variant>
      <vt:variant>
        <vt:i4>0</vt:i4>
      </vt:variant>
      <vt:variant>
        <vt:i4>5</vt:i4>
      </vt:variant>
      <vt:variant>
        <vt:lpwstr/>
      </vt:variant>
      <vt:variant>
        <vt:lpwstr>_Toc34395795</vt:lpwstr>
      </vt:variant>
      <vt:variant>
        <vt:i4>1638460</vt:i4>
      </vt:variant>
      <vt:variant>
        <vt:i4>20</vt:i4>
      </vt:variant>
      <vt:variant>
        <vt:i4>0</vt:i4>
      </vt:variant>
      <vt:variant>
        <vt:i4>5</vt:i4>
      </vt:variant>
      <vt:variant>
        <vt:lpwstr/>
      </vt:variant>
      <vt:variant>
        <vt:lpwstr>_Toc34395794</vt:lpwstr>
      </vt:variant>
      <vt:variant>
        <vt:i4>1966140</vt:i4>
      </vt:variant>
      <vt:variant>
        <vt:i4>14</vt:i4>
      </vt:variant>
      <vt:variant>
        <vt:i4>0</vt:i4>
      </vt:variant>
      <vt:variant>
        <vt:i4>5</vt:i4>
      </vt:variant>
      <vt:variant>
        <vt:lpwstr/>
      </vt:variant>
      <vt:variant>
        <vt:lpwstr>_Toc34395793</vt:lpwstr>
      </vt:variant>
      <vt:variant>
        <vt:i4>2031676</vt:i4>
      </vt:variant>
      <vt:variant>
        <vt:i4>8</vt:i4>
      </vt:variant>
      <vt:variant>
        <vt:i4>0</vt:i4>
      </vt:variant>
      <vt:variant>
        <vt:i4>5</vt:i4>
      </vt:variant>
      <vt:variant>
        <vt:lpwstr/>
      </vt:variant>
      <vt:variant>
        <vt:lpwstr>_Toc34395792</vt:lpwstr>
      </vt:variant>
      <vt:variant>
        <vt:i4>1835068</vt:i4>
      </vt:variant>
      <vt:variant>
        <vt:i4>2</vt:i4>
      </vt:variant>
      <vt:variant>
        <vt:i4>0</vt:i4>
      </vt:variant>
      <vt:variant>
        <vt:i4>5</vt:i4>
      </vt:variant>
      <vt:variant>
        <vt:lpwstr/>
      </vt:variant>
      <vt:variant>
        <vt:lpwstr>_Toc34395791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Gosling</dc:creator>
  <cp:keywords/>
  <cp:lastModifiedBy>Windows User</cp:lastModifiedBy>
  <cp:revision>2</cp:revision>
  <cp:lastPrinted>2019-10-04T14:01:00Z</cp:lastPrinted>
  <dcterms:created xsi:type="dcterms:W3CDTF">2020-10-14T06:20:00Z</dcterms:created>
  <dcterms:modified xsi:type="dcterms:W3CDTF">2020-10-14T06:20:00Z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for Office 365</vt:lpwstr>
  </property>
  <property fmtid="{D5CDD505-2E9C-101B-9397-08002B2CF9AE}" pid="4" name="LastSaved">
    <vt:filetime>2019-04-29T00:00:00Z</vt:filetime>
  </property>
  <property fmtid="{D5CDD505-2E9C-101B-9397-08002B2CF9AE}" pid="5" name="ContentTypeId">
    <vt:lpwstr>0x010100F64C1D223B42884AA6795CDC638E41B3</vt:lpwstr>
  </property>
</Properties>
</file>