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55539" w14:textId="77777777" w:rsidR="00B72132" w:rsidRDefault="00B72132" w:rsidP="00B72132">
      <w:pPr>
        <w:sectPr w:rsidR="00B72132" w:rsidSect="00651042">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p w14:paraId="7FF33F8C" w14:textId="77777777" w:rsidR="00F126B3" w:rsidRDefault="004F1C66" w:rsidP="004F1C66">
      <w:pPr>
        <w:pStyle w:val="Heading1"/>
      </w:pPr>
      <w:bookmarkStart w:id="0" w:name="_Toc142043216"/>
      <w:bookmarkStart w:id="1" w:name="_Toc171338269"/>
      <w:bookmarkEnd w:id="0"/>
      <w:r w:rsidRPr="004F1C66">
        <w:t>Removal of Learners from Clinical Placements in Relation to Serious Concerns</w:t>
      </w:r>
      <w:bookmarkEnd w:id="1"/>
      <w:r w:rsidRPr="004F1C66">
        <w:t xml:space="preserve">  </w:t>
      </w:r>
      <w:r w:rsidR="00B72132">
        <w:t xml:space="preserve"> </w:t>
      </w:r>
    </w:p>
    <w:p w14:paraId="31D9E7E1" w14:textId="77777777" w:rsidR="007375BC" w:rsidRPr="007375BC" w:rsidRDefault="007375BC" w:rsidP="007375BC">
      <w:r w:rsidRPr="0053542E">
        <w:rPr>
          <w:noProof/>
        </w:rPr>
        <w:drawing>
          <wp:inline distT="0" distB="0" distL="0" distR="0" wp14:anchorId="6AFEEBEF" wp14:editId="50AE28C2">
            <wp:extent cx="6263640" cy="4720846"/>
            <wp:effectExtent l="0" t="0" r="3810" b="3810"/>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263640" cy="4720846"/>
                    </a:xfrm>
                    <a:prstGeom prst="rect">
                      <a:avLst/>
                    </a:prstGeom>
                  </pic:spPr>
                </pic:pic>
              </a:graphicData>
            </a:graphic>
          </wp:inline>
        </w:drawing>
      </w:r>
    </w:p>
    <w:p w14:paraId="0FA16CB2" w14:textId="77777777" w:rsidR="004F1C66" w:rsidRDefault="004F1C66" w:rsidP="004F1C66">
      <w:pPr>
        <w:spacing w:after="0"/>
        <w:rPr>
          <w:rFonts w:ascii="Segoe UI" w:hAnsi="Segoe UI" w:cs="Segoe UI"/>
          <w:sz w:val="18"/>
          <w:szCs w:val="18"/>
        </w:rPr>
      </w:pPr>
      <w:r>
        <w:rPr>
          <w:rStyle w:val="normaltextrun"/>
        </w:rPr>
        <w:t>First published 2016</w:t>
      </w:r>
      <w:r>
        <w:rPr>
          <w:rStyle w:val="eop"/>
          <w:rFonts w:cs="Arial"/>
        </w:rPr>
        <w:t> </w:t>
      </w:r>
    </w:p>
    <w:p w14:paraId="3ED3A6DB" w14:textId="77777777" w:rsidR="004F1C66" w:rsidRDefault="004F1C66" w:rsidP="004F1C66">
      <w:pPr>
        <w:spacing w:after="0"/>
        <w:rPr>
          <w:rFonts w:ascii="Segoe UI" w:hAnsi="Segoe UI" w:cs="Segoe UI"/>
          <w:sz w:val="18"/>
          <w:szCs w:val="18"/>
        </w:rPr>
      </w:pPr>
      <w:r>
        <w:rPr>
          <w:rStyle w:val="normaltextrun"/>
        </w:rPr>
        <w:t xml:space="preserve">Updated July 2024 (rebranded to reflect transition to new NHS England) </w:t>
      </w:r>
    </w:p>
    <w:p w14:paraId="58B4F041" w14:textId="77777777" w:rsidR="007375BC" w:rsidRPr="007375BC" w:rsidRDefault="007375BC" w:rsidP="007375BC">
      <w:pPr>
        <w:sectPr w:rsidR="007375BC" w:rsidRPr="007375BC" w:rsidSect="00651042">
          <w:footerReference w:type="default" r:id="rId15"/>
          <w:type w:val="continuous"/>
          <w:pgSz w:w="11906" w:h="16838"/>
          <w:pgMar w:top="1021" w:right="1021" w:bottom="1021" w:left="1021" w:header="454" w:footer="556" w:gutter="0"/>
          <w:cols w:space="708"/>
          <w:titlePg/>
          <w:docGrid w:linePitch="360"/>
        </w:sectPr>
      </w:pPr>
    </w:p>
    <w:sdt>
      <w:sdtPr>
        <w:rPr>
          <w:rFonts w:ascii="Arial" w:eastAsia="Times New Roman" w:hAnsi="Arial" w:cs="Times New Roman"/>
          <w:b w:val="0"/>
          <w:bCs w:val="0"/>
          <w:color w:val="000000"/>
          <w:sz w:val="24"/>
          <w:szCs w:val="24"/>
          <w:lang w:val="en-GB" w:eastAsia="en-US"/>
          <w14:ligatures w14:val="none"/>
        </w:rPr>
        <w:id w:val="1246693950"/>
        <w:docPartObj>
          <w:docPartGallery w:val="Table of Contents"/>
          <w:docPartUnique/>
        </w:docPartObj>
      </w:sdtPr>
      <w:sdtEndPr/>
      <w:sdtContent>
        <w:p w14:paraId="3071DF81" w14:textId="77777777" w:rsidR="004F1C66" w:rsidRDefault="004F1C66">
          <w:pPr>
            <w:pStyle w:val="TOCHeading"/>
          </w:pPr>
          <w:r>
            <w:rPr>
              <w:lang w:val="en-GB"/>
            </w:rPr>
            <w:t>Contents</w:t>
          </w:r>
        </w:p>
        <w:p w14:paraId="1B98354D" w14:textId="77777777" w:rsidR="00404068" w:rsidRDefault="004F1C66">
          <w:pPr>
            <w:pStyle w:val="TOC1"/>
            <w:rPr>
              <w:rFonts w:asciiTheme="minorHAnsi" w:eastAsiaTheme="minorEastAsia" w:hAnsiTheme="minorHAnsi" w:cstheme="minorBidi"/>
              <w:color w:val="auto"/>
              <w:kern w:val="2"/>
              <w:sz w:val="24"/>
              <w:lang w:eastAsia="en-GB"/>
              <w14:ligatures w14:val="standardContextual"/>
            </w:rPr>
          </w:pPr>
          <w:r>
            <w:fldChar w:fldCharType="begin"/>
          </w:r>
          <w:r>
            <w:instrText xml:space="preserve"> TOC \o "1-3" \h \z \u </w:instrText>
          </w:r>
          <w:r>
            <w:fldChar w:fldCharType="separate"/>
          </w:r>
          <w:hyperlink w:anchor="_Toc171338269" w:history="1">
            <w:r w:rsidR="00404068" w:rsidRPr="00CA02BC">
              <w:rPr>
                <w:rStyle w:val="Hyperlink"/>
              </w:rPr>
              <w:t>Removal of Learners from Clinical Placements in Relation to Serious Concerns</w:t>
            </w:r>
            <w:r w:rsidR="00404068">
              <w:rPr>
                <w:webHidden/>
              </w:rPr>
              <w:tab/>
            </w:r>
            <w:r w:rsidR="00404068">
              <w:rPr>
                <w:webHidden/>
              </w:rPr>
              <w:fldChar w:fldCharType="begin"/>
            </w:r>
            <w:r w:rsidR="00404068">
              <w:rPr>
                <w:webHidden/>
              </w:rPr>
              <w:instrText xml:space="preserve"> PAGEREF _Toc171338269 \h </w:instrText>
            </w:r>
            <w:r w:rsidR="00404068">
              <w:rPr>
                <w:webHidden/>
              </w:rPr>
            </w:r>
            <w:r w:rsidR="00404068">
              <w:rPr>
                <w:webHidden/>
              </w:rPr>
              <w:fldChar w:fldCharType="separate"/>
            </w:r>
            <w:r w:rsidR="00404068">
              <w:rPr>
                <w:webHidden/>
              </w:rPr>
              <w:t>1</w:t>
            </w:r>
            <w:r w:rsidR="00404068">
              <w:rPr>
                <w:webHidden/>
              </w:rPr>
              <w:fldChar w:fldCharType="end"/>
            </w:r>
          </w:hyperlink>
        </w:p>
        <w:p w14:paraId="394191DB" w14:textId="77777777" w:rsidR="00404068" w:rsidRDefault="00D90058">
          <w:pPr>
            <w:pStyle w:val="TOC2"/>
            <w:rPr>
              <w:rFonts w:asciiTheme="minorHAnsi" w:eastAsiaTheme="minorEastAsia" w:hAnsiTheme="minorHAnsi" w:cstheme="minorBidi"/>
              <w:color w:val="auto"/>
              <w:kern w:val="2"/>
              <w:sz w:val="24"/>
              <w:lang w:eastAsia="en-GB"/>
              <w14:ligatures w14:val="standardContextual"/>
            </w:rPr>
          </w:pPr>
          <w:hyperlink w:anchor="_Toc171338270" w:history="1">
            <w:r w:rsidR="00404068" w:rsidRPr="00CA02BC">
              <w:rPr>
                <w:rStyle w:val="Hyperlink"/>
              </w:rPr>
              <w:t>Executive summary</w:t>
            </w:r>
            <w:r w:rsidR="00404068">
              <w:rPr>
                <w:webHidden/>
              </w:rPr>
              <w:tab/>
            </w:r>
            <w:r w:rsidR="00404068">
              <w:rPr>
                <w:webHidden/>
              </w:rPr>
              <w:fldChar w:fldCharType="begin"/>
            </w:r>
            <w:r w:rsidR="00404068">
              <w:rPr>
                <w:webHidden/>
              </w:rPr>
              <w:instrText xml:space="preserve"> PAGEREF _Toc171338270 \h </w:instrText>
            </w:r>
            <w:r w:rsidR="00404068">
              <w:rPr>
                <w:webHidden/>
              </w:rPr>
            </w:r>
            <w:r w:rsidR="00404068">
              <w:rPr>
                <w:webHidden/>
              </w:rPr>
              <w:fldChar w:fldCharType="separate"/>
            </w:r>
            <w:r w:rsidR="00404068">
              <w:rPr>
                <w:webHidden/>
              </w:rPr>
              <w:t>3</w:t>
            </w:r>
            <w:r w:rsidR="00404068">
              <w:rPr>
                <w:webHidden/>
              </w:rPr>
              <w:fldChar w:fldCharType="end"/>
            </w:r>
          </w:hyperlink>
        </w:p>
        <w:p w14:paraId="238551F5" w14:textId="77777777" w:rsidR="00404068" w:rsidRDefault="00D90058">
          <w:pPr>
            <w:pStyle w:val="TOC2"/>
            <w:rPr>
              <w:rFonts w:asciiTheme="minorHAnsi" w:eastAsiaTheme="minorEastAsia" w:hAnsiTheme="minorHAnsi" w:cstheme="minorBidi"/>
              <w:color w:val="auto"/>
              <w:kern w:val="2"/>
              <w:sz w:val="24"/>
              <w:lang w:eastAsia="en-GB"/>
              <w14:ligatures w14:val="standardContextual"/>
            </w:rPr>
          </w:pPr>
          <w:hyperlink w:anchor="_Toc171338271" w:history="1">
            <w:r w:rsidR="00404068" w:rsidRPr="00CA02BC">
              <w:rPr>
                <w:rStyle w:val="Hyperlink"/>
              </w:rPr>
              <w:t>Introduction, purpose, and scope</w:t>
            </w:r>
            <w:r w:rsidR="00404068">
              <w:rPr>
                <w:webHidden/>
              </w:rPr>
              <w:tab/>
            </w:r>
            <w:r w:rsidR="00404068">
              <w:rPr>
                <w:webHidden/>
              </w:rPr>
              <w:fldChar w:fldCharType="begin"/>
            </w:r>
            <w:r w:rsidR="00404068">
              <w:rPr>
                <w:webHidden/>
              </w:rPr>
              <w:instrText xml:space="preserve"> PAGEREF _Toc171338271 \h </w:instrText>
            </w:r>
            <w:r w:rsidR="00404068">
              <w:rPr>
                <w:webHidden/>
              </w:rPr>
            </w:r>
            <w:r w:rsidR="00404068">
              <w:rPr>
                <w:webHidden/>
              </w:rPr>
              <w:fldChar w:fldCharType="separate"/>
            </w:r>
            <w:r w:rsidR="00404068">
              <w:rPr>
                <w:webHidden/>
              </w:rPr>
              <w:t>4</w:t>
            </w:r>
            <w:r w:rsidR="00404068">
              <w:rPr>
                <w:webHidden/>
              </w:rPr>
              <w:fldChar w:fldCharType="end"/>
            </w:r>
          </w:hyperlink>
        </w:p>
        <w:p w14:paraId="4CA5DDD9" w14:textId="77777777" w:rsidR="00404068" w:rsidRDefault="00D90058">
          <w:pPr>
            <w:pStyle w:val="TOC2"/>
            <w:rPr>
              <w:rFonts w:asciiTheme="minorHAnsi" w:eastAsiaTheme="minorEastAsia" w:hAnsiTheme="minorHAnsi" w:cstheme="minorBidi"/>
              <w:color w:val="auto"/>
              <w:kern w:val="2"/>
              <w:sz w:val="24"/>
              <w:lang w:eastAsia="en-GB"/>
              <w14:ligatures w14:val="standardContextual"/>
            </w:rPr>
          </w:pPr>
          <w:hyperlink w:anchor="_Toc171338272" w:history="1">
            <w:r w:rsidR="00404068" w:rsidRPr="00CA02BC">
              <w:rPr>
                <w:rStyle w:val="Hyperlink"/>
              </w:rPr>
              <w:t>The Regulators and NHS England</w:t>
            </w:r>
            <w:r w:rsidR="00404068">
              <w:rPr>
                <w:webHidden/>
              </w:rPr>
              <w:tab/>
            </w:r>
            <w:r w:rsidR="00404068">
              <w:rPr>
                <w:webHidden/>
              </w:rPr>
              <w:fldChar w:fldCharType="begin"/>
            </w:r>
            <w:r w:rsidR="00404068">
              <w:rPr>
                <w:webHidden/>
              </w:rPr>
              <w:instrText xml:space="preserve"> PAGEREF _Toc171338272 \h </w:instrText>
            </w:r>
            <w:r w:rsidR="00404068">
              <w:rPr>
                <w:webHidden/>
              </w:rPr>
            </w:r>
            <w:r w:rsidR="00404068">
              <w:rPr>
                <w:webHidden/>
              </w:rPr>
              <w:fldChar w:fldCharType="separate"/>
            </w:r>
            <w:r w:rsidR="00404068">
              <w:rPr>
                <w:webHidden/>
              </w:rPr>
              <w:t>5</w:t>
            </w:r>
            <w:r w:rsidR="00404068">
              <w:rPr>
                <w:webHidden/>
              </w:rPr>
              <w:fldChar w:fldCharType="end"/>
            </w:r>
          </w:hyperlink>
        </w:p>
        <w:p w14:paraId="123CB05E" w14:textId="77777777" w:rsidR="00404068" w:rsidRDefault="00D90058">
          <w:pPr>
            <w:pStyle w:val="TOC2"/>
            <w:rPr>
              <w:rFonts w:asciiTheme="minorHAnsi" w:eastAsiaTheme="minorEastAsia" w:hAnsiTheme="minorHAnsi" w:cstheme="minorBidi"/>
              <w:color w:val="auto"/>
              <w:kern w:val="2"/>
              <w:sz w:val="24"/>
              <w:lang w:eastAsia="en-GB"/>
              <w14:ligatures w14:val="standardContextual"/>
            </w:rPr>
          </w:pPr>
          <w:hyperlink w:anchor="_Toc171338273" w:history="1">
            <w:r w:rsidR="00404068" w:rsidRPr="00CA02BC">
              <w:rPr>
                <w:rStyle w:val="Hyperlink"/>
              </w:rPr>
              <w:t>Removal of learners</w:t>
            </w:r>
            <w:r w:rsidR="00404068">
              <w:rPr>
                <w:webHidden/>
              </w:rPr>
              <w:tab/>
            </w:r>
            <w:r w:rsidR="00404068">
              <w:rPr>
                <w:webHidden/>
              </w:rPr>
              <w:fldChar w:fldCharType="begin"/>
            </w:r>
            <w:r w:rsidR="00404068">
              <w:rPr>
                <w:webHidden/>
              </w:rPr>
              <w:instrText xml:space="preserve"> PAGEREF _Toc171338273 \h </w:instrText>
            </w:r>
            <w:r w:rsidR="00404068">
              <w:rPr>
                <w:webHidden/>
              </w:rPr>
            </w:r>
            <w:r w:rsidR="00404068">
              <w:rPr>
                <w:webHidden/>
              </w:rPr>
              <w:fldChar w:fldCharType="separate"/>
            </w:r>
            <w:r w:rsidR="00404068">
              <w:rPr>
                <w:webHidden/>
              </w:rPr>
              <w:t>6</w:t>
            </w:r>
            <w:r w:rsidR="00404068">
              <w:rPr>
                <w:webHidden/>
              </w:rPr>
              <w:fldChar w:fldCharType="end"/>
            </w:r>
          </w:hyperlink>
        </w:p>
        <w:p w14:paraId="3D46B428" w14:textId="77777777" w:rsidR="00404068" w:rsidRDefault="00D90058">
          <w:pPr>
            <w:pStyle w:val="TOC2"/>
            <w:rPr>
              <w:rFonts w:asciiTheme="minorHAnsi" w:eastAsiaTheme="minorEastAsia" w:hAnsiTheme="minorHAnsi" w:cstheme="minorBidi"/>
              <w:color w:val="auto"/>
              <w:kern w:val="2"/>
              <w:sz w:val="24"/>
              <w:lang w:eastAsia="en-GB"/>
              <w14:ligatures w14:val="standardContextual"/>
            </w:rPr>
          </w:pPr>
          <w:hyperlink w:anchor="_Toc171338274" w:history="1">
            <w:r w:rsidR="00404068" w:rsidRPr="00CA02BC">
              <w:rPr>
                <w:rStyle w:val="Hyperlink"/>
              </w:rPr>
              <w:t>Escalation and communication</w:t>
            </w:r>
            <w:r w:rsidR="00404068">
              <w:rPr>
                <w:webHidden/>
              </w:rPr>
              <w:tab/>
            </w:r>
            <w:r w:rsidR="00404068">
              <w:rPr>
                <w:webHidden/>
              </w:rPr>
              <w:fldChar w:fldCharType="begin"/>
            </w:r>
            <w:r w:rsidR="00404068">
              <w:rPr>
                <w:webHidden/>
              </w:rPr>
              <w:instrText xml:space="preserve"> PAGEREF _Toc171338274 \h </w:instrText>
            </w:r>
            <w:r w:rsidR="00404068">
              <w:rPr>
                <w:webHidden/>
              </w:rPr>
            </w:r>
            <w:r w:rsidR="00404068">
              <w:rPr>
                <w:webHidden/>
              </w:rPr>
              <w:fldChar w:fldCharType="separate"/>
            </w:r>
            <w:r w:rsidR="00404068">
              <w:rPr>
                <w:webHidden/>
              </w:rPr>
              <w:t>6</w:t>
            </w:r>
            <w:r w:rsidR="00404068">
              <w:rPr>
                <w:webHidden/>
              </w:rPr>
              <w:fldChar w:fldCharType="end"/>
            </w:r>
          </w:hyperlink>
        </w:p>
        <w:p w14:paraId="5C7A2A3C" w14:textId="77777777" w:rsidR="00404068" w:rsidRDefault="00D90058">
          <w:pPr>
            <w:pStyle w:val="TOC2"/>
            <w:rPr>
              <w:rFonts w:asciiTheme="minorHAnsi" w:eastAsiaTheme="minorEastAsia" w:hAnsiTheme="minorHAnsi" w:cstheme="minorBidi"/>
              <w:color w:val="auto"/>
              <w:kern w:val="2"/>
              <w:sz w:val="24"/>
              <w:lang w:eastAsia="en-GB"/>
              <w14:ligatures w14:val="standardContextual"/>
            </w:rPr>
          </w:pPr>
          <w:hyperlink w:anchor="_Toc171338275" w:history="1">
            <w:r w:rsidR="00404068" w:rsidRPr="00CA02BC">
              <w:rPr>
                <w:rStyle w:val="Hyperlink"/>
              </w:rPr>
              <w:t>Supporting learners and service</w:t>
            </w:r>
            <w:r w:rsidR="00404068">
              <w:rPr>
                <w:webHidden/>
              </w:rPr>
              <w:tab/>
            </w:r>
            <w:r w:rsidR="00404068">
              <w:rPr>
                <w:webHidden/>
              </w:rPr>
              <w:fldChar w:fldCharType="begin"/>
            </w:r>
            <w:r w:rsidR="00404068">
              <w:rPr>
                <w:webHidden/>
              </w:rPr>
              <w:instrText xml:space="preserve"> PAGEREF _Toc171338275 \h </w:instrText>
            </w:r>
            <w:r w:rsidR="00404068">
              <w:rPr>
                <w:webHidden/>
              </w:rPr>
            </w:r>
            <w:r w:rsidR="00404068">
              <w:rPr>
                <w:webHidden/>
              </w:rPr>
              <w:fldChar w:fldCharType="separate"/>
            </w:r>
            <w:r w:rsidR="00404068">
              <w:rPr>
                <w:webHidden/>
              </w:rPr>
              <w:t>7</w:t>
            </w:r>
            <w:r w:rsidR="00404068">
              <w:rPr>
                <w:webHidden/>
              </w:rPr>
              <w:fldChar w:fldCharType="end"/>
            </w:r>
          </w:hyperlink>
        </w:p>
        <w:p w14:paraId="55B3397B" w14:textId="77777777" w:rsidR="00404068" w:rsidRDefault="00D90058">
          <w:pPr>
            <w:pStyle w:val="TOC2"/>
            <w:rPr>
              <w:rFonts w:asciiTheme="minorHAnsi" w:eastAsiaTheme="minorEastAsia" w:hAnsiTheme="minorHAnsi" w:cstheme="minorBidi"/>
              <w:color w:val="auto"/>
              <w:kern w:val="2"/>
              <w:sz w:val="24"/>
              <w:lang w:eastAsia="en-GB"/>
              <w14:ligatures w14:val="standardContextual"/>
            </w:rPr>
          </w:pPr>
          <w:hyperlink w:anchor="_Toc171338276" w:history="1">
            <w:r w:rsidR="00404068" w:rsidRPr="00CA02BC">
              <w:rPr>
                <w:rStyle w:val="Hyperlink"/>
              </w:rPr>
              <w:t>Associated documents</w:t>
            </w:r>
            <w:r w:rsidR="00404068">
              <w:rPr>
                <w:webHidden/>
              </w:rPr>
              <w:tab/>
            </w:r>
            <w:r w:rsidR="00404068">
              <w:rPr>
                <w:webHidden/>
              </w:rPr>
              <w:fldChar w:fldCharType="begin"/>
            </w:r>
            <w:r w:rsidR="00404068">
              <w:rPr>
                <w:webHidden/>
              </w:rPr>
              <w:instrText xml:space="preserve"> PAGEREF _Toc171338276 \h </w:instrText>
            </w:r>
            <w:r w:rsidR="00404068">
              <w:rPr>
                <w:webHidden/>
              </w:rPr>
            </w:r>
            <w:r w:rsidR="00404068">
              <w:rPr>
                <w:webHidden/>
              </w:rPr>
              <w:fldChar w:fldCharType="separate"/>
            </w:r>
            <w:r w:rsidR="00404068">
              <w:rPr>
                <w:webHidden/>
              </w:rPr>
              <w:t>8</w:t>
            </w:r>
            <w:r w:rsidR="00404068">
              <w:rPr>
                <w:webHidden/>
              </w:rPr>
              <w:fldChar w:fldCharType="end"/>
            </w:r>
          </w:hyperlink>
        </w:p>
        <w:p w14:paraId="57B0FCEC" w14:textId="77777777" w:rsidR="00404068" w:rsidRDefault="00D90058">
          <w:pPr>
            <w:pStyle w:val="TOC2"/>
            <w:rPr>
              <w:rFonts w:asciiTheme="minorHAnsi" w:eastAsiaTheme="minorEastAsia" w:hAnsiTheme="minorHAnsi" w:cstheme="minorBidi"/>
              <w:color w:val="auto"/>
              <w:kern w:val="2"/>
              <w:sz w:val="24"/>
              <w:lang w:eastAsia="en-GB"/>
              <w14:ligatures w14:val="standardContextual"/>
            </w:rPr>
          </w:pPr>
          <w:hyperlink w:anchor="_Toc171338277" w:history="1">
            <w:r w:rsidR="00404068" w:rsidRPr="00CA02BC">
              <w:rPr>
                <w:rStyle w:val="Hyperlink"/>
              </w:rPr>
              <w:t>Figure 1. The Intensive Support Framework</w:t>
            </w:r>
            <w:r w:rsidR="00404068">
              <w:rPr>
                <w:webHidden/>
              </w:rPr>
              <w:tab/>
            </w:r>
            <w:r w:rsidR="00404068">
              <w:rPr>
                <w:webHidden/>
              </w:rPr>
              <w:fldChar w:fldCharType="begin"/>
            </w:r>
            <w:r w:rsidR="00404068">
              <w:rPr>
                <w:webHidden/>
              </w:rPr>
              <w:instrText xml:space="preserve"> PAGEREF _Toc171338277 \h </w:instrText>
            </w:r>
            <w:r w:rsidR="00404068">
              <w:rPr>
                <w:webHidden/>
              </w:rPr>
            </w:r>
            <w:r w:rsidR="00404068">
              <w:rPr>
                <w:webHidden/>
              </w:rPr>
              <w:fldChar w:fldCharType="separate"/>
            </w:r>
            <w:r w:rsidR="00404068">
              <w:rPr>
                <w:webHidden/>
              </w:rPr>
              <w:t>9</w:t>
            </w:r>
            <w:r w:rsidR="00404068">
              <w:rPr>
                <w:webHidden/>
              </w:rPr>
              <w:fldChar w:fldCharType="end"/>
            </w:r>
          </w:hyperlink>
        </w:p>
        <w:p w14:paraId="3BE3D063" w14:textId="77777777" w:rsidR="004F1C66" w:rsidRDefault="004F1C66">
          <w:r>
            <w:rPr>
              <w:b/>
              <w:bCs/>
            </w:rPr>
            <w:fldChar w:fldCharType="end"/>
          </w:r>
        </w:p>
      </w:sdtContent>
    </w:sdt>
    <w:p w14:paraId="2DBE39F6" w14:textId="77777777" w:rsidR="00F126B3" w:rsidRPr="00F126B3" w:rsidRDefault="00F126B3" w:rsidP="00F126B3"/>
    <w:p w14:paraId="75C25D98" w14:textId="77777777" w:rsidR="004F1C66" w:rsidRDefault="004F1C66">
      <w:pPr>
        <w:spacing w:after="0" w:line="240" w:lineRule="auto"/>
        <w:textboxTightWrap w:val="none"/>
      </w:pPr>
      <w:r>
        <w:br w:type="page"/>
      </w:r>
    </w:p>
    <w:p w14:paraId="3C8D7825" w14:textId="77777777" w:rsidR="004F1C66" w:rsidRPr="004F1C66" w:rsidRDefault="004F1C66" w:rsidP="004F1C66">
      <w:pPr>
        <w:pStyle w:val="Heading2"/>
      </w:pPr>
      <w:bookmarkStart w:id="2" w:name="_Toc171338270"/>
      <w:r w:rsidRPr="004F1C66">
        <w:lastRenderedPageBreak/>
        <w:t>Executive summary</w:t>
      </w:r>
      <w:bookmarkEnd w:id="2"/>
      <w:r w:rsidRPr="004F1C66">
        <w:t>  </w:t>
      </w:r>
    </w:p>
    <w:p w14:paraId="1A46FAE3" w14:textId="77777777" w:rsidR="004F1C66" w:rsidRDefault="004F1C66" w:rsidP="004F1C66">
      <w:pPr>
        <w:pStyle w:val="paragraph"/>
        <w:spacing w:before="0" w:beforeAutospacing="0" w:after="0" w:afterAutospacing="0"/>
        <w:ind w:left="-15" w:right="15"/>
        <w:textAlignment w:val="baseline"/>
        <w:rPr>
          <w:rFonts w:ascii="Segoe UI" w:hAnsi="Segoe UI" w:cs="Segoe UI"/>
          <w:color w:val="000000"/>
          <w:sz w:val="18"/>
          <w:szCs w:val="18"/>
        </w:rPr>
      </w:pPr>
      <w:r>
        <w:rPr>
          <w:rStyle w:val="eop"/>
          <w:rFonts w:ascii="Arial" w:hAnsi="Arial" w:cs="Arial"/>
          <w:color w:val="000000"/>
        </w:rPr>
        <w:t> </w:t>
      </w:r>
    </w:p>
    <w:p w14:paraId="301388F8" w14:textId="77777777" w:rsidR="004F1C66" w:rsidRDefault="004F1C66" w:rsidP="004F1C66">
      <w:pPr>
        <w:rPr>
          <w:rFonts w:ascii="Segoe UI" w:hAnsi="Segoe UI" w:cs="Segoe UI"/>
          <w:sz w:val="18"/>
          <w:szCs w:val="18"/>
        </w:rPr>
      </w:pPr>
      <w:r>
        <w:rPr>
          <w:rStyle w:val="normaltextrun"/>
        </w:rPr>
        <w:t>NHS England is responsible for ensuring that there are high quality learning environments for all healthcare learners (this statutory responsibility was transferred from the former Health Education England (HEE) on 1</w:t>
      </w:r>
      <w:r>
        <w:rPr>
          <w:rStyle w:val="normaltextrun"/>
          <w:sz w:val="19"/>
          <w:szCs w:val="19"/>
          <w:vertAlign w:val="superscript"/>
        </w:rPr>
        <w:t>st</w:t>
      </w:r>
      <w:r>
        <w:rPr>
          <w:rStyle w:val="normaltextrun"/>
        </w:rPr>
        <w:t xml:space="preserve"> April 2023). </w:t>
      </w:r>
      <w:r>
        <w:rPr>
          <w:rStyle w:val="eop"/>
          <w:rFonts w:cs="Arial"/>
        </w:rPr>
        <w:t> </w:t>
      </w:r>
    </w:p>
    <w:p w14:paraId="787A55E7" w14:textId="77777777" w:rsidR="004F1C66" w:rsidRDefault="004F1C66" w:rsidP="004F1C66">
      <w:pPr>
        <w:rPr>
          <w:rFonts w:ascii="Segoe UI" w:hAnsi="Segoe UI" w:cs="Segoe UI"/>
          <w:sz w:val="18"/>
          <w:szCs w:val="18"/>
        </w:rPr>
      </w:pPr>
      <w:r>
        <w:rPr>
          <w:rStyle w:val="normaltextrun"/>
        </w:rPr>
        <w:t>This guidance is designed to ensure that NHS England-funded or directly commissioned healthcare education and training is undertaken in line with the</w:t>
      </w:r>
      <w:r w:rsidR="00404068">
        <w:rPr>
          <w:rStyle w:val="normaltextrun"/>
        </w:rPr>
        <w:t xml:space="preserve"> NHS education funding agreement. </w:t>
      </w:r>
      <w:r>
        <w:rPr>
          <w:rStyle w:val="normaltextrun"/>
        </w:rPr>
        <w:t xml:space="preserve"> </w:t>
      </w:r>
    </w:p>
    <w:p w14:paraId="083E6786" w14:textId="77777777" w:rsidR="00404068" w:rsidRDefault="004F1C66" w:rsidP="00404068">
      <w:pPr>
        <w:rPr>
          <w:rFonts w:ascii="Segoe UI" w:hAnsi="Segoe UI" w:cs="Segoe UI"/>
          <w:sz w:val="18"/>
          <w:szCs w:val="18"/>
        </w:rPr>
      </w:pPr>
      <w:r>
        <w:rPr>
          <w:rStyle w:val="normaltextrun"/>
        </w:rPr>
        <w:t xml:space="preserve">NHS England will work in collaboration with placement providers, education providers, healthcare and professional regulators, and other system partners, to ensure that work-based healthcare training placements meet NHS England’s quality standards and expectations as set out in our </w:t>
      </w:r>
      <w:r w:rsidR="00404068" w:rsidRPr="00404068">
        <w:rPr>
          <w:rStyle w:val="normaltextrun"/>
        </w:rPr>
        <w:t>education quality framework</w:t>
      </w:r>
      <w:r w:rsidRPr="00404068">
        <w:rPr>
          <w:rStyle w:val="normaltextrun"/>
        </w:rPr>
        <w:t>, an integral</w:t>
      </w:r>
      <w:r>
        <w:rPr>
          <w:rStyle w:val="normaltextrun"/>
        </w:rPr>
        <w:t xml:space="preserve"> part of the </w:t>
      </w:r>
      <w:r w:rsidR="00404068">
        <w:rPr>
          <w:rStyle w:val="normaltextrun"/>
        </w:rPr>
        <w:t xml:space="preserve">NHS education funding agreement.  </w:t>
      </w:r>
    </w:p>
    <w:p w14:paraId="5D1622AB" w14:textId="77777777" w:rsidR="004F1C66" w:rsidRDefault="004F1C66" w:rsidP="004F1C66">
      <w:pPr>
        <w:rPr>
          <w:rFonts w:ascii="Segoe UI" w:hAnsi="Segoe UI" w:cs="Segoe UI"/>
          <w:sz w:val="18"/>
          <w:szCs w:val="18"/>
        </w:rPr>
      </w:pPr>
      <w:r>
        <w:rPr>
          <w:rStyle w:val="normaltextrun"/>
        </w:rPr>
        <w:t>This guidance refers exclusively to training programmes in England directly managed by NHS England, which include Doctors in Postgraduate Training, Dentists in Postgraduate Training, Healthcare Scientists and Foundation Pharmacists (the term ‘learner’ is the generic term used to refer to all these groups throughout this guidance).</w:t>
      </w:r>
      <w:r>
        <w:rPr>
          <w:rStyle w:val="eop"/>
          <w:rFonts w:cs="Arial"/>
        </w:rPr>
        <w:t> </w:t>
      </w:r>
    </w:p>
    <w:p w14:paraId="353CF3A8" w14:textId="77777777" w:rsidR="004F1C66" w:rsidRDefault="004F1C66" w:rsidP="004F1C66">
      <w:pPr>
        <w:rPr>
          <w:rFonts w:ascii="Segoe UI" w:hAnsi="Segoe UI" w:cs="Segoe UI"/>
          <w:sz w:val="18"/>
          <w:szCs w:val="18"/>
        </w:rPr>
      </w:pPr>
      <w:r>
        <w:rPr>
          <w:rStyle w:val="normaltextrun"/>
        </w:rPr>
        <w:t>NHS England recognises that there will be times where its expectations of the quality of education and training are not met, and where all reasonable actions have been taken to resolve concerns that have been raised regarding a healthcare learning environment, but which continue to remain unresolved. This guidance specifically details the principles that will be adhered to when removing learners from practice placements in relation to serious quality concerns. Removing learners is normally an act of last resort.</w:t>
      </w:r>
      <w:r>
        <w:rPr>
          <w:rStyle w:val="eop"/>
          <w:rFonts w:cs="Arial"/>
        </w:rPr>
        <w:t> </w:t>
      </w:r>
    </w:p>
    <w:p w14:paraId="7E5C3F55" w14:textId="77777777" w:rsidR="004F1C66" w:rsidRDefault="004F1C66">
      <w:pPr>
        <w:spacing w:after="0" w:line="240" w:lineRule="auto"/>
        <w:textboxTightWrap w:val="none"/>
      </w:pPr>
      <w:r>
        <w:br w:type="page"/>
      </w:r>
    </w:p>
    <w:p w14:paraId="33F68EC6" w14:textId="77777777" w:rsidR="004F1C66" w:rsidRDefault="004F1C66" w:rsidP="004F1C66">
      <w:pPr>
        <w:pStyle w:val="Heading2"/>
        <w:rPr>
          <w:rFonts w:ascii="Segoe UI" w:hAnsi="Segoe UI" w:cs="Segoe UI"/>
          <w:bCs/>
          <w:color w:val="A00054"/>
          <w:sz w:val="18"/>
          <w:szCs w:val="18"/>
        </w:rPr>
      </w:pPr>
      <w:bookmarkStart w:id="3" w:name="_Toc171338271"/>
      <w:r w:rsidRPr="004F1C66">
        <w:lastRenderedPageBreak/>
        <w:t>Introduction, purpose, and scope</w:t>
      </w:r>
      <w:bookmarkEnd w:id="3"/>
      <w:r>
        <w:rPr>
          <w:rStyle w:val="eop"/>
          <w:rFonts w:ascii="Arial" w:hAnsi="Arial"/>
          <w:b w:val="0"/>
          <w:bCs/>
          <w:color w:val="2F5496"/>
          <w:sz w:val="40"/>
          <w:szCs w:val="40"/>
        </w:rPr>
        <w:t> </w:t>
      </w:r>
    </w:p>
    <w:p w14:paraId="14D0152E" w14:textId="77777777" w:rsidR="004F1C66" w:rsidRDefault="004F1C66" w:rsidP="004F1C66">
      <w:pPr>
        <w:pStyle w:val="paragraph"/>
        <w:spacing w:before="0" w:beforeAutospacing="0" w:after="0" w:afterAutospacing="0"/>
        <w:ind w:left="-15" w:right="105"/>
        <w:textAlignment w:val="baseline"/>
        <w:rPr>
          <w:rFonts w:ascii="Segoe UI" w:hAnsi="Segoe UI" w:cs="Segoe UI"/>
          <w:color w:val="000000"/>
          <w:sz w:val="18"/>
          <w:szCs w:val="18"/>
        </w:rPr>
      </w:pPr>
      <w:r>
        <w:rPr>
          <w:rStyle w:val="eop"/>
          <w:rFonts w:ascii="Arial" w:hAnsi="Arial" w:cs="Arial"/>
          <w:color w:val="000000"/>
        </w:rPr>
        <w:t> </w:t>
      </w:r>
    </w:p>
    <w:p w14:paraId="0DC9319F" w14:textId="77777777" w:rsidR="004F1C66" w:rsidRPr="004F1C66" w:rsidRDefault="004F1C66" w:rsidP="004F1C66">
      <w:pPr>
        <w:rPr>
          <w:rStyle w:val="normaltextrun"/>
        </w:rPr>
      </w:pPr>
      <w:r w:rsidRPr="004F1C66">
        <w:rPr>
          <w:rStyle w:val="normaltextrun"/>
        </w:rPr>
        <w:t>This guidance is owned by the Director of NHS England’s Workforce, Training and Education (WT&amp;E) Directorate. It applies to directly managed healthcare training programmes in England only. Currently, this includes: </w:t>
      </w:r>
    </w:p>
    <w:p w14:paraId="7A81652B" w14:textId="77777777" w:rsidR="004F1C66" w:rsidRPr="004F1C66" w:rsidRDefault="004F1C66" w:rsidP="004F1C66">
      <w:pPr>
        <w:pStyle w:val="Bulletlist"/>
        <w:rPr>
          <w:rStyle w:val="normaltextrun"/>
          <w:rFonts w:cs="Times New Roman"/>
        </w:rPr>
      </w:pPr>
      <w:r w:rsidRPr="004F1C66">
        <w:rPr>
          <w:rStyle w:val="normaltextrun"/>
        </w:rPr>
        <w:t>Doctors in Postgraduate Training</w:t>
      </w:r>
      <w:r w:rsidRPr="004F1C66">
        <w:rPr>
          <w:rStyle w:val="normaltextrun"/>
          <w:rFonts w:cs="Times New Roman"/>
        </w:rPr>
        <w:t> </w:t>
      </w:r>
    </w:p>
    <w:p w14:paraId="51131C9B" w14:textId="77777777" w:rsidR="004F1C66" w:rsidRPr="004F1C66" w:rsidRDefault="004F1C66" w:rsidP="004F1C66">
      <w:pPr>
        <w:pStyle w:val="Bulletlist"/>
        <w:rPr>
          <w:rStyle w:val="normaltextrun"/>
          <w:rFonts w:cs="Times New Roman"/>
        </w:rPr>
      </w:pPr>
      <w:r w:rsidRPr="004F1C66">
        <w:rPr>
          <w:rStyle w:val="normaltextrun"/>
        </w:rPr>
        <w:t>Dentists in Postgraduate Training</w:t>
      </w:r>
      <w:r w:rsidRPr="004F1C66">
        <w:rPr>
          <w:rStyle w:val="normaltextrun"/>
          <w:rFonts w:cs="Times New Roman"/>
        </w:rPr>
        <w:t> </w:t>
      </w:r>
    </w:p>
    <w:p w14:paraId="653D350E" w14:textId="77777777" w:rsidR="004F1C66" w:rsidRPr="004F1C66" w:rsidRDefault="004F1C66" w:rsidP="004F1C66">
      <w:pPr>
        <w:pStyle w:val="Bulletlist"/>
        <w:rPr>
          <w:rStyle w:val="normaltextrun"/>
          <w:rFonts w:cs="Times New Roman"/>
        </w:rPr>
      </w:pPr>
      <w:r w:rsidRPr="004F1C66">
        <w:rPr>
          <w:rStyle w:val="normaltextrun"/>
        </w:rPr>
        <w:t>Directly managed pre-registration Healthcare Scientists (HSST, STP and ETP)</w:t>
      </w:r>
      <w:r w:rsidRPr="004F1C66">
        <w:rPr>
          <w:rStyle w:val="normaltextrun"/>
          <w:rFonts w:cs="Times New Roman"/>
        </w:rPr>
        <w:t> </w:t>
      </w:r>
    </w:p>
    <w:p w14:paraId="7829569D" w14:textId="77777777" w:rsidR="004F1C66" w:rsidRPr="004F1C66" w:rsidRDefault="004F1C66" w:rsidP="004F1C66">
      <w:pPr>
        <w:pStyle w:val="Bulletlist"/>
        <w:rPr>
          <w:rStyle w:val="normaltextrun"/>
          <w:rFonts w:cs="Times New Roman"/>
        </w:rPr>
      </w:pPr>
      <w:r w:rsidRPr="004F1C66">
        <w:rPr>
          <w:rStyle w:val="normaltextrun"/>
        </w:rPr>
        <w:t>Foundation Pharmacists</w:t>
      </w:r>
      <w:r w:rsidRPr="004F1C66">
        <w:rPr>
          <w:rStyle w:val="normaltextrun"/>
          <w:rFonts w:cs="Times New Roman"/>
        </w:rPr>
        <w:t> </w:t>
      </w:r>
    </w:p>
    <w:p w14:paraId="64ECC0E4" w14:textId="77777777" w:rsidR="004F1C66" w:rsidRPr="004F1C66" w:rsidRDefault="004F1C66" w:rsidP="004F1C66">
      <w:pPr>
        <w:rPr>
          <w:rStyle w:val="normaltextrun"/>
        </w:rPr>
      </w:pPr>
      <w:r w:rsidRPr="004F1C66">
        <w:rPr>
          <w:rStyle w:val="normaltextrun"/>
        </w:rPr>
        <w:t>NHS England’s WT&amp;E’s strategic goal is to assure and deliver, with partners, quality education and training that is rigorous, highly sought after and future focussed. </w:t>
      </w:r>
    </w:p>
    <w:p w14:paraId="69B0CE68" w14:textId="77777777" w:rsidR="004F1C66" w:rsidRPr="004F1C66" w:rsidRDefault="004F1C66" w:rsidP="004F1C66">
      <w:pPr>
        <w:rPr>
          <w:rStyle w:val="normaltextrun"/>
        </w:rPr>
      </w:pPr>
      <w:r w:rsidRPr="004F1C66">
        <w:rPr>
          <w:rStyle w:val="normaltextrun"/>
        </w:rPr>
        <w:t>The guidance aims to keep patients and service users safe, ensure learners’ welfare and safety and provide a mechanism to enable transparent and prompt action when major quality concerns about education and training, and patient safety where relevant, are identified. </w:t>
      </w:r>
    </w:p>
    <w:p w14:paraId="3EEB54FB" w14:textId="77777777" w:rsidR="004F1C66" w:rsidRPr="004F1C66" w:rsidRDefault="004F1C66" w:rsidP="004F1C66">
      <w:pPr>
        <w:rPr>
          <w:rStyle w:val="normaltextrun"/>
        </w:rPr>
      </w:pPr>
      <w:r w:rsidRPr="004F1C66">
        <w:rPr>
          <w:rStyle w:val="normaltextrun"/>
        </w:rPr>
        <w:t>This guidance outlines the principles that should be considered in relation to the removal of one or more learners by NHS England from one or more specific settings within a placement provider1 or from a placement provider as a whole. It reflects action that may be taken when evidence from (in particular, but not exclusively) NHS England’s quality management activities has identified that there are major quality concerns within a clinical learning environment regarding education and training and/or patient safety. </w:t>
      </w:r>
    </w:p>
    <w:p w14:paraId="6527FBEB" w14:textId="77777777" w:rsidR="004F1C66" w:rsidRPr="004F1C66" w:rsidRDefault="004F1C66" w:rsidP="004F1C66">
      <w:pPr>
        <w:rPr>
          <w:rStyle w:val="normaltextrun"/>
        </w:rPr>
      </w:pPr>
      <w:r w:rsidRPr="004F1C66">
        <w:rPr>
          <w:rStyle w:val="normaltextrun"/>
        </w:rPr>
        <w:t>This guidance does not apply to the following: </w:t>
      </w:r>
      <w:r w:rsidRPr="004F1C66">
        <w:rPr>
          <w:rStyle w:val="normaltextrun"/>
        </w:rPr>
        <w:br/>
      </w:r>
      <w:r w:rsidRPr="00404068">
        <w:rPr>
          <w:rStyle w:val="BulletlistChar"/>
        </w:rPr>
        <w:t>- unfilled placements in programmes following recruitment; </w:t>
      </w:r>
      <w:r w:rsidRPr="00404068">
        <w:rPr>
          <w:rStyle w:val="BulletlistChar"/>
        </w:rPr>
        <w:br/>
        <w:t>- moving individual learners due to reasons other than the quality of the clinical learning environment (there may be many reasons for this but examples might include a breakdown of relationships, or needing experience elsewhere to meet specific educational requirements); </w:t>
      </w:r>
      <w:r w:rsidRPr="00404068">
        <w:rPr>
          <w:rStyle w:val="BulletlistChar"/>
        </w:rPr>
        <w:br/>
        <w:t>- planned reduction in training capacity to fulfil workforce plans, changes in funding or national training priorities and/or planned ‘decommissioning’ (which may apply quality criteria); </w:t>
      </w:r>
      <w:r w:rsidRPr="00404068">
        <w:rPr>
          <w:rStyle w:val="BulletlistChar"/>
        </w:rPr>
        <w:br/>
        <w:t>- the decision of a placement provider to reduce its training capacity.</w:t>
      </w:r>
      <w:r w:rsidRPr="004F1C66">
        <w:rPr>
          <w:rStyle w:val="normaltextrun"/>
        </w:rPr>
        <w:t> </w:t>
      </w:r>
    </w:p>
    <w:p w14:paraId="49F8654D" w14:textId="77777777" w:rsidR="004F1C66" w:rsidRPr="004F1C66" w:rsidRDefault="004F1C66" w:rsidP="004F1C66">
      <w:pPr>
        <w:rPr>
          <w:rStyle w:val="normaltextrun"/>
        </w:rPr>
      </w:pPr>
      <w:r w:rsidRPr="004F1C66">
        <w:rPr>
          <w:rStyle w:val="normaltextrun"/>
        </w:rPr>
        <w:t>The guidance should be read and used in conjunction with the NHS England’s Education Quality Strategy, Education Quality Framework, Intensive Support Framework (ISF), and any other relevant documents outlining professional regulator quality expectations and standards. </w:t>
      </w:r>
    </w:p>
    <w:p w14:paraId="59530946" w14:textId="77777777" w:rsidR="004F1C66" w:rsidRPr="004F1C66" w:rsidRDefault="004F1C66" w:rsidP="004F1C66">
      <w:pPr>
        <w:rPr>
          <w:rStyle w:val="normaltextrun"/>
        </w:rPr>
      </w:pPr>
      <w:r w:rsidRPr="004F1C66">
        <w:rPr>
          <w:rStyle w:val="normaltextrun"/>
        </w:rPr>
        <w:lastRenderedPageBreak/>
        <w:t>NHS England’s Education Quality Framework sets out our standards and expectations for the quality of clinical learning environments, which clinical placement providers are required to meet through the NHS Education Contract. The ISF enables categorisation of quality concerns with regards to the Education Quality Framework and describes a graded approach to escalation, reporting and, crucially, providing appropriate support (in collaboration and consultation with other stakeholders) (See Figure 1). In doing so, it provides a framework for deciding when support and remedial measures have been exhausted and removal of learners should be considered as an option. </w:t>
      </w:r>
    </w:p>
    <w:p w14:paraId="61979526" w14:textId="77777777" w:rsidR="004F1C66" w:rsidRPr="004F1C66" w:rsidRDefault="004F1C66" w:rsidP="004F1C66">
      <w:pPr>
        <w:rPr>
          <w:rStyle w:val="normaltextrun"/>
        </w:rPr>
      </w:pPr>
      <w:r w:rsidRPr="004F1C66">
        <w:rPr>
          <w:rStyle w:val="normaltextrun"/>
        </w:rPr>
        <w:t>The decision to remove learners is not taken lightly and is normally an act of last resort following the identification of major concerns about the quality of training, the capacity to train, patient care and/or the welfare of learners. When assessing whether to remove learners, NHS England takes into consideration (but is not constrained by) the potential impact on service delivery and patients, the impact on learner progression, the impact on other learners within the setting not covered by this guidance (liaising with professional regulators and other system partners where appropriate), and that removing learners is not often a solution. Assessment of the impact should be made in discussion with the provider(s) to establish and understand the potential level of risk. </w:t>
      </w:r>
    </w:p>
    <w:p w14:paraId="0F41C107" w14:textId="77777777" w:rsidR="004F1C66" w:rsidRPr="004F1C66" w:rsidRDefault="004F1C66" w:rsidP="004F1C66">
      <w:pPr>
        <w:rPr>
          <w:rStyle w:val="normaltextrun"/>
        </w:rPr>
      </w:pPr>
      <w:r w:rsidRPr="004F1C66">
        <w:rPr>
          <w:rStyle w:val="normaltextrun"/>
        </w:rPr>
        <w:t>The aim is for removal to be temporary while concerns are addressed (see 5.5). However, it may be decided that removal should be permanent (or it is considered unlikely that learners could return in the short or medium term), and that decommissioning of placements (funded training posts) is a necessary action. This guidance applies to the removal of learners only rather than decommissioning of placements. Decommissioning will involve a separate and formal contractual process (including a notice period) but does not preclude the removal of learners while this process is underway. </w:t>
      </w:r>
    </w:p>
    <w:p w14:paraId="6896E46F" w14:textId="77777777" w:rsidR="004F1C66" w:rsidRPr="004F1C66" w:rsidRDefault="004F1C66" w:rsidP="004F1C66">
      <w:pPr>
        <w:pStyle w:val="Heading2"/>
      </w:pPr>
      <w:bookmarkStart w:id="4" w:name="_Toc171338272"/>
      <w:r w:rsidRPr="004F1C66">
        <w:t>The Regulators and NHS England</w:t>
      </w:r>
      <w:bookmarkEnd w:id="4"/>
      <w:r w:rsidRPr="004F1C66">
        <w:t> </w:t>
      </w:r>
    </w:p>
    <w:p w14:paraId="7FC66DAE" w14:textId="77777777" w:rsidR="004F1C66" w:rsidRDefault="004F1C66" w:rsidP="004F1C66">
      <w:pPr>
        <w:pStyle w:val="paragraph"/>
        <w:spacing w:before="0" w:beforeAutospacing="0" w:after="0" w:afterAutospacing="0"/>
        <w:ind w:left="-15" w:right="105"/>
        <w:textAlignment w:val="baseline"/>
        <w:rPr>
          <w:rFonts w:ascii="Segoe UI" w:hAnsi="Segoe UI" w:cs="Segoe UI"/>
          <w:color w:val="000000"/>
          <w:sz w:val="18"/>
          <w:szCs w:val="18"/>
        </w:rPr>
      </w:pPr>
      <w:r>
        <w:rPr>
          <w:rStyle w:val="eop"/>
          <w:rFonts w:ascii="Arial" w:hAnsi="Arial" w:cs="Arial"/>
          <w:color w:val="2F5496"/>
        </w:rPr>
        <w:t> </w:t>
      </w:r>
    </w:p>
    <w:p w14:paraId="7A6AB9F9" w14:textId="77777777" w:rsidR="004F1C66" w:rsidRDefault="004F1C66" w:rsidP="004F1C66">
      <w:pPr>
        <w:rPr>
          <w:rFonts w:ascii="Segoe UI" w:hAnsi="Segoe UI" w:cs="Segoe UI"/>
          <w:sz w:val="18"/>
          <w:szCs w:val="18"/>
        </w:rPr>
      </w:pPr>
      <w:r>
        <w:rPr>
          <w:rStyle w:val="normaltextrun"/>
        </w:rPr>
        <w:t>As this guidance applies to directly managed healthcare training programmes, the following regulators may be directly affected:</w:t>
      </w:r>
      <w:r>
        <w:rPr>
          <w:rStyle w:val="eop"/>
          <w:rFonts w:cs="Arial"/>
        </w:rPr>
        <w:t> </w:t>
      </w:r>
    </w:p>
    <w:p w14:paraId="6B6D78C5" w14:textId="77777777" w:rsidR="004F1C66" w:rsidRDefault="004F1C66" w:rsidP="004F1C66">
      <w:pPr>
        <w:pStyle w:val="Bulletlist"/>
        <w:rPr>
          <w:rFonts w:cs="Arial"/>
        </w:rPr>
      </w:pPr>
      <w:r>
        <w:rPr>
          <w:rStyle w:val="normaltextrun"/>
        </w:rPr>
        <w:t>Doctors in Postgraduate Training – General Medical Council (GMC)</w:t>
      </w:r>
      <w:r>
        <w:rPr>
          <w:rStyle w:val="eop"/>
          <w:rFonts w:cs="Arial"/>
        </w:rPr>
        <w:t> </w:t>
      </w:r>
    </w:p>
    <w:p w14:paraId="61BF0C62" w14:textId="77777777" w:rsidR="004F1C66" w:rsidRDefault="004F1C66" w:rsidP="004F1C66">
      <w:pPr>
        <w:pStyle w:val="Bulletlist"/>
        <w:rPr>
          <w:rFonts w:cs="Arial"/>
        </w:rPr>
      </w:pPr>
      <w:r>
        <w:rPr>
          <w:rStyle w:val="normaltextrun"/>
        </w:rPr>
        <w:t>Dentists in Postgraduate Training – General Dental Council (GDC)</w:t>
      </w:r>
      <w:r>
        <w:rPr>
          <w:rStyle w:val="eop"/>
          <w:rFonts w:cs="Arial"/>
        </w:rPr>
        <w:t> </w:t>
      </w:r>
    </w:p>
    <w:p w14:paraId="794AFE50" w14:textId="77777777" w:rsidR="004F1C66" w:rsidRDefault="004F1C66" w:rsidP="004F1C66">
      <w:pPr>
        <w:pStyle w:val="Bulletlist"/>
        <w:rPr>
          <w:rFonts w:cs="Arial"/>
        </w:rPr>
      </w:pPr>
      <w:r>
        <w:rPr>
          <w:rStyle w:val="normaltextrun"/>
        </w:rPr>
        <w:t>Healthcare Scientists – Health and Care Professions Council (HCPC)</w:t>
      </w:r>
      <w:r>
        <w:rPr>
          <w:rStyle w:val="eop"/>
          <w:rFonts w:cs="Arial"/>
        </w:rPr>
        <w:t> </w:t>
      </w:r>
    </w:p>
    <w:p w14:paraId="4D0B46C9" w14:textId="77777777" w:rsidR="004F1C66" w:rsidRDefault="004F1C66" w:rsidP="004F1C66">
      <w:pPr>
        <w:pStyle w:val="Bulletlist"/>
        <w:rPr>
          <w:rFonts w:cs="Arial"/>
        </w:rPr>
      </w:pPr>
      <w:r>
        <w:rPr>
          <w:rStyle w:val="normaltextrun"/>
        </w:rPr>
        <w:t>Foundation Pharmacists – General Pharmaceutical Council (GPhC)</w:t>
      </w:r>
      <w:r>
        <w:rPr>
          <w:rStyle w:val="eop"/>
          <w:rFonts w:cs="Arial"/>
        </w:rPr>
        <w:t> </w:t>
      </w:r>
    </w:p>
    <w:p w14:paraId="44A77372" w14:textId="77777777" w:rsidR="004F1C66" w:rsidRDefault="004F1C66" w:rsidP="004F1C66">
      <w:pPr>
        <w:rPr>
          <w:rFonts w:ascii="Segoe UI" w:hAnsi="Segoe UI" w:cs="Segoe UI"/>
          <w:sz w:val="18"/>
          <w:szCs w:val="18"/>
        </w:rPr>
      </w:pPr>
      <w:r>
        <w:rPr>
          <w:rStyle w:val="normaltextrun"/>
        </w:rPr>
        <w:t xml:space="preserve">These regulators have a range of responsibilities, which include the approval of education and training programmes, approval of training sites, setting professional standards, setting </w:t>
      </w:r>
      <w:r>
        <w:rPr>
          <w:rStyle w:val="normaltextrun"/>
        </w:rPr>
        <w:lastRenderedPageBreak/>
        <w:t>standards for education, and approval of practitioners for professional registration with the regulatory body.</w:t>
      </w:r>
      <w:r>
        <w:rPr>
          <w:rStyle w:val="eop"/>
          <w:rFonts w:cs="Arial"/>
        </w:rPr>
        <w:t> </w:t>
      </w:r>
    </w:p>
    <w:p w14:paraId="6704C1DD" w14:textId="77777777" w:rsidR="004F1C66" w:rsidRDefault="004F1C66" w:rsidP="004F1C66">
      <w:pPr>
        <w:rPr>
          <w:rFonts w:ascii="Segoe UI" w:hAnsi="Segoe UI" w:cs="Segoe UI"/>
          <w:sz w:val="18"/>
          <w:szCs w:val="18"/>
        </w:rPr>
      </w:pPr>
      <w:r>
        <w:rPr>
          <w:rStyle w:val="normaltextrun"/>
        </w:rPr>
        <w:t xml:space="preserve">As a commissioner of education and training, legally enshrined in the </w:t>
      </w:r>
      <w:r w:rsidR="00404068">
        <w:rPr>
          <w:rStyle w:val="normaltextrun"/>
        </w:rPr>
        <w:t>NHS education funding agreement</w:t>
      </w:r>
      <w:r>
        <w:rPr>
          <w:rStyle w:val="normaltextrun"/>
        </w:rPr>
        <w:t>, NHS England will inform the relevant regulator when the decision has been made to remove learners from a healthcare setting.</w:t>
      </w:r>
      <w:r>
        <w:rPr>
          <w:rStyle w:val="eop"/>
          <w:rFonts w:cs="Arial"/>
        </w:rPr>
        <w:t> </w:t>
      </w:r>
    </w:p>
    <w:p w14:paraId="3C8E393D" w14:textId="77777777" w:rsidR="004F1C66" w:rsidRDefault="004F1C66" w:rsidP="004F1C66">
      <w:pPr>
        <w:rPr>
          <w:rFonts w:ascii="Segoe UI" w:hAnsi="Segoe UI" w:cs="Segoe UI"/>
          <w:sz w:val="18"/>
          <w:szCs w:val="18"/>
        </w:rPr>
      </w:pPr>
      <w:r>
        <w:rPr>
          <w:rStyle w:val="normaltextrun"/>
        </w:rPr>
        <w:t>NHS England will also seek to inform and work with all regulators and HEIs, including those where learners are undertaking programmes not directly managed by NHS England, at the earliest possible opportunity. </w:t>
      </w:r>
      <w:r>
        <w:rPr>
          <w:rStyle w:val="eop"/>
          <w:rFonts w:cs="Arial"/>
        </w:rPr>
        <w:t> </w:t>
      </w:r>
    </w:p>
    <w:p w14:paraId="3736BFF6" w14:textId="77777777" w:rsidR="004F1C66" w:rsidRPr="004F1C66" w:rsidRDefault="004F1C66" w:rsidP="004F1C66">
      <w:pPr>
        <w:pStyle w:val="Heading2"/>
      </w:pPr>
      <w:bookmarkStart w:id="5" w:name="_Toc171338273"/>
      <w:r w:rsidRPr="004F1C66">
        <w:t>Removal of learners</w:t>
      </w:r>
      <w:bookmarkEnd w:id="5"/>
      <w:r w:rsidRPr="004F1C66">
        <w:t> </w:t>
      </w:r>
    </w:p>
    <w:p w14:paraId="4A6F224C" w14:textId="77777777" w:rsidR="004F1C66" w:rsidRDefault="004F1C66" w:rsidP="004F1C66">
      <w:pPr>
        <w:pStyle w:val="paragraph"/>
        <w:spacing w:before="0" w:beforeAutospacing="0" w:after="0" w:afterAutospacing="0"/>
        <w:ind w:left="-15" w:right="105"/>
        <w:textAlignment w:val="baseline"/>
        <w:rPr>
          <w:rFonts w:ascii="Segoe UI" w:hAnsi="Segoe UI" w:cs="Segoe UI"/>
          <w:color w:val="000000"/>
          <w:sz w:val="18"/>
          <w:szCs w:val="18"/>
        </w:rPr>
      </w:pPr>
      <w:r>
        <w:rPr>
          <w:rStyle w:val="eop"/>
          <w:rFonts w:ascii="Arial" w:hAnsi="Arial" w:cs="Arial"/>
        </w:rPr>
        <w:t> </w:t>
      </w:r>
    </w:p>
    <w:p w14:paraId="2483A6F6" w14:textId="77777777" w:rsidR="004F1C66" w:rsidRDefault="004F1C66" w:rsidP="004F1C66">
      <w:pPr>
        <w:rPr>
          <w:rFonts w:ascii="Segoe UI" w:hAnsi="Segoe UI" w:cs="Segoe UI"/>
          <w:sz w:val="18"/>
          <w:szCs w:val="18"/>
        </w:rPr>
      </w:pPr>
      <w:r>
        <w:rPr>
          <w:rStyle w:val="normaltextrun"/>
        </w:rPr>
        <w:t>The decisions to remove learners will typically be made in relation to one or more concerns that have been known about for some time and which, despite intervention and attempts to improve quality, have deteriorated to the extent where the education and training of learners is at significant risk (i.e., such that they cannot meet their curriculum requirements) and/or learners are in an unsafe placement environment.  However, there may be rare occasions where an identified concern is of such significance that learners need to be removed immediately and at short notice.</w:t>
      </w:r>
      <w:r>
        <w:rPr>
          <w:rStyle w:val="eop"/>
          <w:rFonts w:cs="Arial"/>
        </w:rPr>
        <w:t> </w:t>
      </w:r>
    </w:p>
    <w:p w14:paraId="69A8EDAD" w14:textId="77777777" w:rsidR="004F1C66" w:rsidRDefault="004F1C66" w:rsidP="004F1C66">
      <w:pPr>
        <w:rPr>
          <w:rFonts w:ascii="Segoe UI" w:hAnsi="Segoe UI" w:cs="Segoe UI"/>
          <w:sz w:val="18"/>
          <w:szCs w:val="18"/>
        </w:rPr>
      </w:pPr>
      <w:r>
        <w:rPr>
          <w:rStyle w:val="normaltextrun"/>
        </w:rPr>
        <w:t xml:space="preserve">The decision to remove learners rests with the local Postgraduate Dean and will be taken in consultation with the Regional Dean and local Primary Care Dean, Dental Dean, Pharmacy Dean, and Healthcare Science Lead (as appropriate), and the relevant Regional Director. </w:t>
      </w:r>
      <w:r>
        <w:rPr>
          <w:rStyle w:val="eop"/>
          <w:rFonts w:cs="Arial"/>
        </w:rPr>
        <w:t> </w:t>
      </w:r>
    </w:p>
    <w:p w14:paraId="10B2FC8A" w14:textId="77777777" w:rsidR="004F1C66" w:rsidRPr="004F1C66" w:rsidRDefault="004F1C66" w:rsidP="004F1C66">
      <w:pPr>
        <w:pStyle w:val="Heading2"/>
      </w:pPr>
      <w:bookmarkStart w:id="6" w:name="_Toc171338274"/>
      <w:r w:rsidRPr="004F1C66">
        <w:t>Escalation and communication</w:t>
      </w:r>
      <w:bookmarkEnd w:id="6"/>
      <w:r w:rsidRPr="004F1C66">
        <w:t> </w:t>
      </w:r>
    </w:p>
    <w:p w14:paraId="3D8EE2D2" w14:textId="77777777" w:rsidR="004F1C66" w:rsidRDefault="004F1C66" w:rsidP="004F1C66">
      <w:pPr>
        <w:pStyle w:val="paragraph"/>
        <w:spacing w:before="0" w:beforeAutospacing="0" w:after="0" w:afterAutospacing="0"/>
        <w:ind w:left="-15" w:right="105"/>
        <w:textAlignment w:val="baseline"/>
        <w:rPr>
          <w:rFonts w:ascii="Segoe UI" w:hAnsi="Segoe UI" w:cs="Segoe UI"/>
          <w:color w:val="000000"/>
          <w:sz w:val="18"/>
          <w:szCs w:val="18"/>
        </w:rPr>
      </w:pPr>
      <w:r>
        <w:rPr>
          <w:rStyle w:val="eop"/>
          <w:rFonts w:ascii="Arial" w:hAnsi="Arial" w:cs="Arial"/>
        </w:rPr>
        <w:t> </w:t>
      </w:r>
    </w:p>
    <w:p w14:paraId="2DA05DF8" w14:textId="77777777" w:rsidR="004F1C66" w:rsidRDefault="004F1C66" w:rsidP="004F1C66">
      <w:pPr>
        <w:rPr>
          <w:rFonts w:ascii="Segoe UI" w:hAnsi="Segoe UI" w:cs="Segoe UI"/>
          <w:sz w:val="18"/>
          <w:szCs w:val="18"/>
        </w:rPr>
      </w:pPr>
      <w:r>
        <w:rPr>
          <w:rStyle w:val="normaltextrun"/>
        </w:rPr>
        <w:t>The local Postgraduate Dean is responsible for ensuring that key stakeholders within the placement provider organisation(s) (including the learners themselves) are aware of concerns and any decision to remove learners. Once the decision to remove learners has been discussed and agreed within NHS England, formal, written notification will be sent to the placement provider(s).</w:t>
      </w:r>
      <w:r>
        <w:rPr>
          <w:rStyle w:val="eop"/>
          <w:rFonts w:cs="Arial"/>
        </w:rPr>
        <w:t> </w:t>
      </w:r>
    </w:p>
    <w:p w14:paraId="7C41B819" w14:textId="77777777" w:rsidR="004F1C66" w:rsidRDefault="004F1C66" w:rsidP="004F1C66">
      <w:pPr>
        <w:rPr>
          <w:rFonts w:ascii="Segoe UI" w:hAnsi="Segoe UI" w:cs="Segoe UI"/>
          <w:sz w:val="18"/>
          <w:szCs w:val="18"/>
        </w:rPr>
      </w:pPr>
      <w:r>
        <w:rPr>
          <w:rStyle w:val="normaltextrun"/>
        </w:rPr>
        <w:t>Where it has been determined that learners should be removed from a setting or placement provider, NHS England’s WT&amp;E Director will be informed, to:</w:t>
      </w:r>
      <w:r>
        <w:rPr>
          <w:rStyle w:val="scxw51105095"/>
          <w:rFonts w:cs="Arial"/>
        </w:rPr>
        <w:t> </w:t>
      </w:r>
      <w:r>
        <w:rPr>
          <w:rFonts w:cs="Arial"/>
        </w:rPr>
        <w:br/>
      </w:r>
      <w:r w:rsidRPr="00404068">
        <w:rPr>
          <w:rStyle w:val="normaltextrun"/>
        </w:rPr>
        <w:t>- outline the rationale underpinning the decision </w:t>
      </w:r>
      <w:r w:rsidRPr="00404068">
        <w:rPr>
          <w:rStyle w:val="normaltextrun"/>
        </w:rPr>
        <w:br/>
        <w:t>- describe the actions agreed because of that decision </w:t>
      </w:r>
      <w:r w:rsidRPr="00404068">
        <w:rPr>
          <w:rStyle w:val="normaltextrun"/>
        </w:rPr>
        <w:br/>
        <w:t>- highlight any potential or emerging high impact concerns regarding patient or learner safety (including the safety of any remaining learners placed within that setting).</w:t>
      </w:r>
      <w:r>
        <w:rPr>
          <w:rStyle w:val="eop"/>
          <w:rFonts w:cs="Arial"/>
        </w:rPr>
        <w:t> </w:t>
      </w:r>
    </w:p>
    <w:p w14:paraId="0040A274" w14:textId="77777777" w:rsidR="004F1C66" w:rsidRDefault="004F1C66" w:rsidP="004F1C66">
      <w:pPr>
        <w:rPr>
          <w:rFonts w:ascii="Segoe UI" w:hAnsi="Segoe UI" w:cs="Segoe UI"/>
          <w:sz w:val="18"/>
          <w:szCs w:val="18"/>
        </w:rPr>
      </w:pPr>
      <w:r>
        <w:rPr>
          <w:rStyle w:val="normaltextrun"/>
        </w:rPr>
        <w:lastRenderedPageBreak/>
        <w:t>NHS England’s respective regional and national communications and media teams will be informed in advance of the decision to remove learners as there may be local and/or national media interest.</w:t>
      </w:r>
      <w:r>
        <w:rPr>
          <w:rStyle w:val="eop"/>
          <w:rFonts w:cs="Arial"/>
        </w:rPr>
        <w:t> </w:t>
      </w:r>
    </w:p>
    <w:p w14:paraId="4AA4E9EC" w14:textId="77777777" w:rsidR="004F1C66" w:rsidRDefault="004F1C66" w:rsidP="004F1C66">
      <w:pPr>
        <w:rPr>
          <w:rFonts w:ascii="Segoe UI" w:hAnsi="Segoe UI" w:cs="Segoe UI"/>
          <w:sz w:val="18"/>
          <w:szCs w:val="18"/>
        </w:rPr>
      </w:pPr>
      <w:r>
        <w:rPr>
          <w:rStyle w:val="normaltextrun"/>
        </w:rPr>
        <w:t>Any Higher Education Institutions (HEIs) hosting learners affected by the decision will be informed and consulted prior to removal (involvement of the HEIs at an early stage of management of quality concerns is expected).</w:t>
      </w:r>
      <w:r>
        <w:rPr>
          <w:rStyle w:val="eop"/>
          <w:rFonts w:cs="Arial"/>
        </w:rPr>
        <w:t> </w:t>
      </w:r>
    </w:p>
    <w:p w14:paraId="33AEDBE7" w14:textId="77777777" w:rsidR="004F1C66" w:rsidRDefault="004F1C66" w:rsidP="004F1C66">
      <w:pPr>
        <w:rPr>
          <w:rFonts w:ascii="Segoe UI" w:hAnsi="Segoe UI" w:cs="Segoe UI"/>
          <w:sz w:val="18"/>
          <w:szCs w:val="18"/>
        </w:rPr>
      </w:pPr>
      <w:r>
        <w:rPr>
          <w:rStyle w:val="normaltextrun"/>
        </w:rPr>
        <w:t>The local Postgraduate Dean will ensure that relevant professional leads for any other healthcare learners who may be affected are informed as well as any relevant Royal Colleges, Colleges, or Faculty (and professional leads within any other stakeholder organisations, e.g., the Defence Deanery).</w:t>
      </w:r>
      <w:r>
        <w:rPr>
          <w:rStyle w:val="eop"/>
          <w:rFonts w:cs="Arial"/>
        </w:rPr>
        <w:t> </w:t>
      </w:r>
    </w:p>
    <w:p w14:paraId="5636F4A0" w14:textId="77777777" w:rsidR="004F1C66" w:rsidRDefault="004F1C66" w:rsidP="004F1C66">
      <w:pPr>
        <w:rPr>
          <w:rFonts w:ascii="Segoe UI" w:hAnsi="Segoe UI" w:cs="Segoe UI"/>
          <w:sz w:val="18"/>
          <w:szCs w:val="18"/>
        </w:rPr>
      </w:pPr>
      <w:r>
        <w:rPr>
          <w:rStyle w:val="normaltextrun"/>
        </w:rPr>
        <w:t>The Postgraduate Dean will be responsible for informing health and care regulators (such as the Care Quality Commission) of the decision to remove learners.</w:t>
      </w:r>
      <w:r>
        <w:rPr>
          <w:rStyle w:val="eop"/>
          <w:rFonts w:cs="Arial"/>
        </w:rPr>
        <w:t> </w:t>
      </w:r>
    </w:p>
    <w:p w14:paraId="15537173" w14:textId="77777777" w:rsidR="004F1C66" w:rsidRDefault="004F1C66" w:rsidP="004F1C66">
      <w:pPr>
        <w:rPr>
          <w:rFonts w:ascii="Segoe UI" w:hAnsi="Segoe UI" w:cs="Segoe UI"/>
          <w:sz w:val="18"/>
          <w:szCs w:val="18"/>
        </w:rPr>
      </w:pPr>
      <w:r>
        <w:rPr>
          <w:rStyle w:val="normaltextrun"/>
        </w:rPr>
        <w:t>The Postgraduate Dean should notify other Postgraduate Deans in any other regions hosting learners who are on placement out of region and affected by the decision.</w:t>
      </w:r>
      <w:r>
        <w:rPr>
          <w:rStyle w:val="eop"/>
          <w:rFonts w:cs="Arial"/>
        </w:rPr>
        <w:t> </w:t>
      </w:r>
    </w:p>
    <w:p w14:paraId="3D33FBA7" w14:textId="77777777" w:rsidR="004F1C66" w:rsidRDefault="004F1C66" w:rsidP="004F1C66">
      <w:pPr>
        <w:rPr>
          <w:rFonts w:ascii="Segoe UI" w:hAnsi="Segoe UI" w:cs="Segoe UI"/>
          <w:sz w:val="18"/>
          <w:szCs w:val="18"/>
        </w:rPr>
      </w:pPr>
      <w:r>
        <w:rPr>
          <w:rStyle w:val="normaltextrun"/>
        </w:rPr>
        <w:t>The decision to remove learners while quality concerns are addressed sometimes involves small placement providers where there may only be one or two learners at any one time, and where the impact on service and any other learners is likely to be minimal, and where wider patient safety concerns may not be an issue. Examples, of these providers would include GP practices, pharmacies, and some community teams (mental health, community nursing, community midwifery etc.). In these circumstances, the Postgraduate Dean may exercise discretion in deciding which of the escalation steps outlined above are necessary and proportionate. </w:t>
      </w:r>
      <w:r>
        <w:rPr>
          <w:rStyle w:val="eop"/>
          <w:rFonts w:cs="Arial"/>
        </w:rPr>
        <w:t> </w:t>
      </w:r>
    </w:p>
    <w:p w14:paraId="0E4A1C53" w14:textId="77777777" w:rsidR="004F1C66" w:rsidRPr="004F1C66" w:rsidRDefault="004F1C66" w:rsidP="004F1C66">
      <w:pPr>
        <w:pStyle w:val="Heading2"/>
      </w:pPr>
      <w:bookmarkStart w:id="7" w:name="_Toc171338275"/>
      <w:r w:rsidRPr="004F1C66">
        <w:t>Supporting learners and service</w:t>
      </w:r>
      <w:bookmarkEnd w:id="7"/>
      <w:r w:rsidRPr="004F1C66">
        <w:t> </w:t>
      </w:r>
    </w:p>
    <w:p w14:paraId="4C2D49C9" w14:textId="77777777" w:rsidR="004F1C66" w:rsidRDefault="004F1C66" w:rsidP="004F1C66">
      <w:pPr>
        <w:pStyle w:val="paragraph"/>
        <w:spacing w:before="0" w:beforeAutospacing="0" w:after="0" w:afterAutospacing="0"/>
        <w:ind w:right="15"/>
        <w:textAlignment w:val="baseline"/>
        <w:rPr>
          <w:rFonts w:ascii="Segoe UI" w:hAnsi="Segoe UI" w:cs="Segoe UI"/>
          <w:color w:val="000000"/>
          <w:sz w:val="18"/>
          <w:szCs w:val="18"/>
        </w:rPr>
      </w:pPr>
      <w:r>
        <w:rPr>
          <w:rStyle w:val="eop"/>
          <w:rFonts w:ascii="Arial" w:hAnsi="Arial" w:cs="Arial"/>
          <w:color w:val="000000"/>
        </w:rPr>
        <w:t> </w:t>
      </w:r>
    </w:p>
    <w:p w14:paraId="00746F40" w14:textId="77777777" w:rsidR="004F1C66" w:rsidRDefault="004F1C66" w:rsidP="004F1C66">
      <w:pPr>
        <w:rPr>
          <w:rFonts w:ascii="Segoe UI" w:hAnsi="Segoe UI" w:cs="Segoe UI"/>
          <w:sz w:val="18"/>
          <w:szCs w:val="18"/>
        </w:rPr>
      </w:pPr>
      <w:r>
        <w:rPr>
          <w:rStyle w:val="normaltextrun"/>
        </w:rPr>
        <w:t>Support must be offered to the learners that have been removed. In addition, the impact of any new learning locations must be considered (such as travel time; a new location should not burden the learner).</w:t>
      </w:r>
      <w:r>
        <w:rPr>
          <w:rStyle w:val="eop"/>
          <w:rFonts w:cs="Arial"/>
        </w:rPr>
        <w:t> </w:t>
      </w:r>
    </w:p>
    <w:p w14:paraId="0DDCABD1" w14:textId="77777777" w:rsidR="004F1C66" w:rsidRDefault="004F1C66" w:rsidP="004F1C66">
      <w:pPr>
        <w:rPr>
          <w:rFonts w:ascii="Segoe UI" w:hAnsi="Segoe UI" w:cs="Segoe UI"/>
          <w:sz w:val="18"/>
          <w:szCs w:val="18"/>
        </w:rPr>
      </w:pPr>
      <w:r>
        <w:rPr>
          <w:rStyle w:val="normaltextrun"/>
        </w:rPr>
        <w:t>If the consideration of removal of learners is being triggered by an individual or individuals raising concerns, it is vital that they are subject to the relevant protections of the Public Interest Disclosure Act 1998, with NHS England acting as a prescribed body under this Act. Steps should be taken in line with NHS England’s obligations under the Act to support them and where possible protect their identity.</w:t>
      </w:r>
      <w:r>
        <w:rPr>
          <w:rStyle w:val="eop"/>
          <w:rFonts w:cs="Arial"/>
        </w:rPr>
        <w:t> </w:t>
      </w:r>
    </w:p>
    <w:p w14:paraId="65B821EE" w14:textId="77777777" w:rsidR="004F1C66" w:rsidRDefault="004F1C66" w:rsidP="004F1C66">
      <w:pPr>
        <w:rPr>
          <w:rFonts w:ascii="Segoe UI" w:hAnsi="Segoe UI" w:cs="Segoe UI"/>
          <w:sz w:val="18"/>
          <w:szCs w:val="18"/>
        </w:rPr>
      </w:pPr>
      <w:r>
        <w:rPr>
          <w:rStyle w:val="normaltextrun"/>
        </w:rPr>
        <w:lastRenderedPageBreak/>
        <w:t>Individual learners must not be exposed to the media.</w:t>
      </w:r>
      <w:r>
        <w:rPr>
          <w:rStyle w:val="eop"/>
          <w:rFonts w:cs="Arial"/>
        </w:rPr>
        <w:t> </w:t>
      </w:r>
    </w:p>
    <w:p w14:paraId="63FA84DB" w14:textId="77777777" w:rsidR="004F1C66" w:rsidRDefault="004F1C66" w:rsidP="004F1C66">
      <w:pPr>
        <w:rPr>
          <w:rFonts w:ascii="Segoe UI" w:hAnsi="Segoe UI" w:cs="Segoe UI"/>
          <w:sz w:val="18"/>
          <w:szCs w:val="18"/>
        </w:rPr>
      </w:pPr>
      <w:r>
        <w:rPr>
          <w:rStyle w:val="normaltextrun"/>
        </w:rPr>
        <w:t>The placement provider(s) must provide assurance to the Postgraduate Dean that the quality of the learning environment for all other learners remaining in the setting will be maintained once removal has taken place.</w:t>
      </w:r>
      <w:r>
        <w:rPr>
          <w:rStyle w:val="eop"/>
          <w:rFonts w:cs="Arial"/>
        </w:rPr>
        <w:t> </w:t>
      </w:r>
    </w:p>
    <w:p w14:paraId="1CC7C28B" w14:textId="77777777" w:rsidR="004F1C66" w:rsidRDefault="004F1C66" w:rsidP="00404068">
      <w:pPr>
        <w:rPr>
          <w:rFonts w:ascii="Segoe UI" w:hAnsi="Segoe UI" w:cs="Segoe UI"/>
          <w:sz w:val="18"/>
          <w:szCs w:val="18"/>
        </w:rPr>
      </w:pPr>
      <w:r>
        <w:rPr>
          <w:rStyle w:val="normaltextrun"/>
        </w:rPr>
        <w:t>Once the learners are removed, all reasonable support will to be provided by NHS England and wider system partners to improve the quality of the learning environment, with a focus on rapid but sustainable improvement allowing for the return of learners as quickly as possible.</w:t>
      </w:r>
      <w:r>
        <w:rPr>
          <w:rStyle w:val="eop"/>
          <w:rFonts w:cs="Arial"/>
        </w:rPr>
        <w:t>  </w:t>
      </w:r>
    </w:p>
    <w:p w14:paraId="367F0113" w14:textId="77777777" w:rsidR="004F1C66" w:rsidRPr="004F1C66" w:rsidRDefault="004F1C66" w:rsidP="004F1C66">
      <w:pPr>
        <w:pStyle w:val="Heading2"/>
      </w:pPr>
      <w:bookmarkStart w:id="8" w:name="_Toc171338276"/>
      <w:r w:rsidRPr="004F1C66">
        <w:t>Associated documents</w:t>
      </w:r>
      <w:bookmarkEnd w:id="8"/>
      <w:r w:rsidRPr="004F1C66">
        <w:t> </w:t>
      </w:r>
    </w:p>
    <w:p w14:paraId="415900AE" w14:textId="77777777" w:rsidR="004F1C66" w:rsidRDefault="004F1C66" w:rsidP="004F1C66">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0E7BF7B1" w14:textId="77777777" w:rsidR="004F1C66" w:rsidRDefault="004F1C66" w:rsidP="004F1C66">
      <w:pPr>
        <w:pStyle w:val="Bulletlist"/>
        <w:rPr>
          <w:rFonts w:ascii="Segoe UI" w:hAnsi="Segoe UI" w:cs="Segoe UI"/>
          <w:sz w:val="18"/>
          <w:szCs w:val="18"/>
        </w:rPr>
      </w:pPr>
      <w:r>
        <w:rPr>
          <w:rStyle w:val="normaltextrun"/>
        </w:rPr>
        <w:t>NHS England’s</w:t>
      </w:r>
      <w:r>
        <w:rPr>
          <w:rStyle w:val="normaltextrun"/>
          <w:i/>
          <w:iCs/>
        </w:rPr>
        <w:t xml:space="preserve"> Education Quality Strategy</w:t>
      </w:r>
      <w:r>
        <w:rPr>
          <w:rStyle w:val="eop"/>
          <w:rFonts w:cs="Arial"/>
        </w:rPr>
        <w:t> </w:t>
      </w:r>
    </w:p>
    <w:p w14:paraId="44DA0B08" w14:textId="77777777" w:rsidR="004F1C66" w:rsidRDefault="004F1C66" w:rsidP="004F1C66">
      <w:pPr>
        <w:pStyle w:val="Bulletlist"/>
        <w:rPr>
          <w:rFonts w:ascii="Segoe UI" w:hAnsi="Segoe UI" w:cs="Segoe UI"/>
          <w:sz w:val="18"/>
          <w:szCs w:val="18"/>
        </w:rPr>
      </w:pPr>
      <w:r>
        <w:rPr>
          <w:rStyle w:val="normaltextrun"/>
        </w:rPr>
        <w:t>NHS England’s</w:t>
      </w:r>
      <w:r>
        <w:rPr>
          <w:rStyle w:val="normaltextrun"/>
          <w:i/>
          <w:iCs/>
        </w:rPr>
        <w:t xml:space="preserve"> Education Quality Framework</w:t>
      </w:r>
      <w:r>
        <w:rPr>
          <w:rStyle w:val="eop"/>
          <w:rFonts w:cs="Arial"/>
        </w:rPr>
        <w:t> </w:t>
      </w:r>
    </w:p>
    <w:p w14:paraId="7BE6018D" w14:textId="77777777" w:rsidR="004F1C66" w:rsidRDefault="004F1C66" w:rsidP="004F1C66">
      <w:pPr>
        <w:pStyle w:val="Bulletlist"/>
        <w:rPr>
          <w:rFonts w:ascii="Segoe UI" w:hAnsi="Segoe UI" w:cs="Segoe UI"/>
          <w:sz w:val="18"/>
          <w:szCs w:val="18"/>
        </w:rPr>
      </w:pPr>
      <w:r>
        <w:rPr>
          <w:rStyle w:val="normaltextrun"/>
        </w:rPr>
        <w:t>NHS England’s</w:t>
      </w:r>
      <w:r>
        <w:rPr>
          <w:rStyle w:val="normaltextrun"/>
          <w:i/>
          <w:iCs/>
        </w:rPr>
        <w:t xml:space="preserve"> Intensive Support Framework</w:t>
      </w:r>
      <w:r>
        <w:rPr>
          <w:rStyle w:val="eop"/>
          <w:rFonts w:cs="Arial"/>
        </w:rPr>
        <w:t> </w:t>
      </w:r>
    </w:p>
    <w:p w14:paraId="41D681A6" w14:textId="77777777" w:rsidR="004F1C66" w:rsidRDefault="004F1C66" w:rsidP="004F1C66">
      <w:pPr>
        <w:pStyle w:val="Bulletlist"/>
        <w:rPr>
          <w:rFonts w:ascii="Segoe UI" w:hAnsi="Segoe UI" w:cs="Segoe UI"/>
          <w:sz w:val="18"/>
          <w:szCs w:val="18"/>
        </w:rPr>
      </w:pPr>
      <w:r>
        <w:rPr>
          <w:rStyle w:val="normaltextrun"/>
        </w:rPr>
        <w:t>NHS Education Contract</w:t>
      </w:r>
      <w:r>
        <w:rPr>
          <w:rStyle w:val="eop"/>
          <w:rFonts w:cs="Arial"/>
        </w:rPr>
        <w:t> </w:t>
      </w:r>
    </w:p>
    <w:p w14:paraId="5D3887DB" w14:textId="77777777" w:rsidR="004F1C66" w:rsidRDefault="004F1C66" w:rsidP="004F1C66">
      <w:pPr>
        <w:pStyle w:val="Bulletlist"/>
        <w:rPr>
          <w:rFonts w:ascii="Segoe UI" w:hAnsi="Segoe UI" w:cs="Segoe UI"/>
          <w:sz w:val="18"/>
          <w:szCs w:val="18"/>
        </w:rPr>
      </w:pPr>
      <w:r>
        <w:rPr>
          <w:rStyle w:val="normaltextrun"/>
        </w:rPr>
        <w:t xml:space="preserve">The latest version of these documents can be found at: </w:t>
      </w:r>
      <w:hyperlink r:id="rId16" w:tgtFrame="_blank" w:history="1">
        <w:r>
          <w:rPr>
            <w:rStyle w:val="normaltextrun"/>
            <w:color w:val="0563C1"/>
            <w:u w:val="single"/>
          </w:rPr>
          <w:t>https://www.hee.nhs.uk/our-work/quality</w:t>
        </w:r>
      </w:hyperlink>
      <w:r>
        <w:rPr>
          <w:rStyle w:val="eop"/>
          <w:rFonts w:cs="Arial"/>
        </w:rPr>
        <w:t> </w:t>
      </w:r>
    </w:p>
    <w:p w14:paraId="5CC0D27F" w14:textId="77777777" w:rsidR="004F1C66" w:rsidRDefault="004F1C66" w:rsidP="004F1C66">
      <w:pPr>
        <w:spacing w:after="0" w:line="240" w:lineRule="auto"/>
        <w:textboxTightWrap w:val="none"/>
      </w:pPr>
    </w:p>
    <w:p w14:paraId="6C58283A" w14:textId="77777777" w:rsidR="00404068" w:rsidRDefault="00404068">
      <w:pPr>
        <w:spacing w:after="0" w:line="240" w:lineRule="auto"/>
        <w:textboxTightWrap w:val="none"/>
      </w:pPr>
      <w:r>
        <w:br w:type="page"/>
      </w:r>
    </w:p>
    <w:p w14:paraId="0D0C2DF6" w14:textId="77777777" w:rsidR="00404068" w:rsidRDefault="00404068" w:rsidP="00404068">
      <w:pPr>
        <w:pStyle w:val="Heading2"/>
      </w:pPr>
    </w:p>
    <w:p w14:paraId="274BF7A2" w14:textId="77777777" w:rsidR="00404068" w:rsidRDefault="00404068" w:rsidP="00404068">
      <w:pPr>
        <w:pStyle w:val="Heading2"/>
      </w:pPr>
      <w:bookmarkStart w:id="9" w:name="_Toc171338277"/>
      <w:r>
        <w:t>Figure 1. The Intensive Support Framework</w:t>
      </w:r>
      <w:bookmarkEnd w:id="9"/>
      <w:r>
        <w:t xml:space="preserve"> </w:t>
      </w:r>
    </w:p>
    <w:p w14:paraId="2867BD59" w14:textId="77777777" w:rsidR="00404068" w:rsidRDefault="00404068" w:rsidP="00404068">
      <w:pPr>
        <w:spacing w:after="0" w:line="240" w:lineRule="auto"/>
        <w:textboxTightWrap w:val="none"/>
      </w:pPr>
    </w:p>
    <w:p w14:paraId="2ED7BB5A" w14:textId="77777777" w:rsidR="00404068" w:rsidRDefault="00404068" w:rsidP="00404068">
      <w:pPr>
        <w:spacing w:after="0" w:line="240" w:lineRule="auto"/>
        <w:textboxTightWrap w:val="none"/>
      </w:pPr>
      <w:r>
        <w:rPr>
          <w:rStyle w:val="wacimagecontainer"/>
          <w:rFonts w:ascii="Segoe UI" w:hAnsi="Segoe UI" w:cs="Segoe UI"/>
          <w:noProof/>
          <w:sz w:val="18"/>
          <w:szCs w:val="18"/>
          <w:shd w:val="clear" w:color="auto" w:fill="FFFFFF"/>
        </w:rPr>
        <w:drawing>
          <wp:inline distT="0" distB="0" distL="0" distR="0" wp14:anchorId="445E7AE9" wp14:editId="779E0DB7">
            <wp:extent cx="6263640" cy="4385945"/>
            <wp:effectExtent l="0" t="0" r="3810" b="0"/>
            <wp:docPr id="1875245765"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 screen&#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63640" cy="4385945"/>
                    </a:xfrm>
                    <a:prstGeom prst="rect">
                      <a:avLst/>
                    </a:prstGeom>
                    <a:noFill/>
                    <a:ln>
                      <a:noFill/>
                    </a:ln>
                  </pic:spPr>
                </pic:pic>
              </a:graphicData>
            </a:graphic>
          </wp:inline>
        </w:drawing>
      </w:r>
      <w:r>
        <w:rPr>
          <w:rFonts w:cs="Arial"/>
          <w:sz w:val="22"/>
          <w:szCs w:val="22"/>
          <w:shd w:val="clear" w:color="auto" w:fill="FFFFFF"/>
        </w:rPr>
        <w:br/>
      </w:r>
    </w:p>
    <w:p w14:paraId="253B3221" w14:textId="77777777" w:rsidR="00F64933" w:rsidRDefault="00F64933" w:rsidP="004F1C66"/>
    <w:sectPr w:rsidR="00F64933" w:rsidSect="00651042">
      <w:headerReference w:type="first" r:id="rId18"/>
      <w:footerReference w:type="first" r:id="rId19"/>
      <w:pgSz w:w="11906" w:h="16838"/>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B81600" w14:textId="77777777" w:rsidR="00D90058" w:rsidRDefault="00D90058" w:rsidP="000C24AF">
      <w:pPr>
        <w:spacing w:after="0"/>
      </w:pPr>
      <w:r>
        <w:separator/>
      </w:r>
    </w:p>
  </w:endnote>
  <w:endnote w:type="continuationSeparator" w:id="0">
    <w:p w14:paraId="34991E84" w14:textId="77777777" w:rsidR="00D90058" w:rsidRDefault="00D90058" w:rsidP="000C24AF">
      <w:pPr>
        <w:spacing w:after="0"/>
      </w:pPr>
      <w:r>
        <w:continuationSeparator/>
      </w:r>
    </w:p>
  </w:endnote>
  <w:endnote w:type="continuationNotice" w:id="1">
    <w:p w14:paraId="03A41274" w14:textId="77777777" w:rsidR="00D90058" w:rsidRDefault="00D900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A5D52" w14:textId="77777777" w:rsidR="00603A2C" w:rsidRDefault="00603A2C" w:rsidP="00603A2C">
    <w:pPr>
      <w:pStyle w:val="Footer"/>
      <w:pBdr>
        <w:top w:val="single" w:sz="4" w:space="1" w:color="005EB8"/>
      </w:pBdr>
    </w:pPr>
  </w:p>
  <w:p w14:paraId="215B08F4" w14:textId="77777777" w:rsidR="00B72132" w:rsidRPr="00AC35F8" w:rsidRDefault="00B72132">
    <w:pPr>
      <w:pStyle w:val="Footer"/>
      <w:rPr>
        <w:sz w:val="24"/>
      </w:rPr>
    </w:pPr>
    <w:r w:rsidRPr="00AC35F8">
      <w:rPr>
        <w:sz w:val="24"/>
      </w:rPr>
      <w:t xml:space="preserve">Publication reference: </w:t>
    </w:r>
    <w:r w:rsidRPr="00AC35F8">
      <w:rPr>
        <w:sz w:val="24"/>
        <w:highlight w:val="yellow"/>
      </w:rPr>
      <w:t>PRNxxx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EndPr/>
    <w:sdtContent>
      <w:p w14:paraId="2C056ED4" w14:textId="77777777" w:rsidR="008A3E2F" w:rsidRDefault="008A3E2F" w:rsidP="008A3E2F">
        <w:pPr>
          <w:pStyle w:val="Footer"/>
          <w:pBdr>
            <w:top w:val="single" w:sz="4" w:space="1" w:color="005EB8"/>
          </w:pBdr>
        </w:pPr>
      </w:p>
      <w:p w14:paraId="67797947" w14:textId="77777777" w:rsidR="00B72132" w:rsidRPr="008A3E2F" w:rsidRDefault="008A3E2F" w:rsidP="008A3E2F">
        <w:pPr>
          <w:pStyle w:val="Footer"/>
        </w:pPr>
        <w:r w:rsidRPr="00AC35F8">
          <w:rPr>
            <w:sz w:val="24"/>
          </w:rPr>
          <w:t>© NHS England 202</w:t>
        </w:r>
        <w:r w:rsidR="0053499D" w:rsidRPr="00AC35F8">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796495"/>
      <w:docPartObj>
        <w:docPartGallery w:val="Page Numbers (Bottom of Page)"/>
        <w:docPartUnique/>
      </w:docPartObj>
    </w:sdtPr>
    <w:sdtEndPr/>
    <w:sdtContent>
      <w:p w14:paraId="7B9748CA" w14:textId="77777777" w:rsidR="00603A2C" w:rsidRDefault="00603A2C" w:rsidP="00603A2C">
        <w:pPr>
          <w:pStyle w:val="Footer"/>
          <w:pBdr>
            <w:top w:val="single" w:sz="4" w:space="1" w:color="005EB8"/>
          </w:pBdr>
        </w:pPr>
      </w:p>
      <w:p w14:paraId="75D064AA"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35B1A" w14:textId="77777777" w:rsidR="00D90058" w:rsidRDefault="00D90058" w:rsidP="000C24AF">
      <w:pPr>
        <w:spacing w:after="0"/>
      </w:pPr>
      <w:r>
        <w:separator/>
      </w:r>
    </w:p>
  </w:footnote>
  <w:footnote w:type="continuationSeparator" w:id="0">
    <w:p w14:paraId="77B489A6" w14:textId="77777777" w:rsidR="00D90058" w:rsidRDefault="00D90058" w:rsidP="000C24AF">
      <w:pPr>
        <w:spacing w:after="0"/>
      </w:pPr>
      <w:r>
        <w:continuationSeparator/>
      </w:r>
    </w:p>
  </w:footnote>
  <w:footnote w:type="continuationNotice" w:id="1">
    <w:p w14:paraId="1118FFCE" w14:textId="77777777" w:rsidR="00D90058" w:rsidRDefault="00D900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BC8889" w14:textId="77777777" w:rsidR="00F126B3" w:rsidRDefault="00F126B3" w:rsidP="00F126B3">
    <w:pPr>
      <w:pStyle w:val="Header"/>
      <w:pBdr>
        <w:bottom w:val="none" w:sz="0" w:space="0" w:color="auto"/>
      </w:pBdr>
    </w:pPr>
    <w:r w:rsidRPr="00DD3B24">
      <w:rPr>
        <w:noProof/>
      </w:rPr>
      <w:drawing>
        <wp:anchor distT="0" distB="0" distL="114300" distR="114300" simplePos="0" relativeHeight="251666432" behindDoc="1" locked="1" layoutInCell="1" allowOverlap="0" wp14:anchorId="4B082745" wp14:editId="12D76D24">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19CED766" w14:textId="77777777" w:rsidR="00F25CC7" w:rsidRPr="00F126B3" w:rsidRDefault="00D90058" w:rsidP="00404068">
    <w:pPr>
      <w:pStyle w:val="Header"/>
      <w:pBdr>
        <w:bottom w:val="single" w:sz="4" w:space="4" w:color="auto"/>
      </w:pBdr>
    </w:pPr>
    <w:sdt>
      <w:sdtPr>
        <w:rPr>
          <w:sz w:val="24"/>
        </w:r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EndPr/>
      <w:sdtContent>
        <w:r w:rsidR="00B44751">
          <w:rPr>
            <w:sz w:val="24"/>
          </w:rPr>
          <w:t>Removal of learners from clinical placements in relation to serious concerns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3F26B0F5" w14:textId="77777777" w:rsidTr="00A449E4">
      <w:trPr>
        <w:trHeight w:val="642"/>
      </w:trPr>
      <w:sdt>
        <w:sdtPr>
          <w:rPr>
            <w:color w:val="231F20" w:themeColor="background1"/>
          </w:rPr>
          <w:alias w:val="Protective Marking"/>
          <w:tag w:val="Protective Marking"/>
          <w:id w:val="-1097942897"/>
          <w:placeholder>
            <w:docPart w:val="3A41D81847984539BC408A33B4788CB8"/>
          </w:placeholder>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7E09203D" w14:textId="77777777" w:rsidR="00B72132" w:rsidRDefault="00404068" w:rsidP="00B72132">
              <w:pPr>
                <w:pStyle w:val="Classification"/>
              </w:pPr>
              <w:r>
                <w:rPr>
                  <w:color w:val="231F20" w:themeColor="background1"/>
                </w:rPr>
                <w:t>Classification: Official</w:t>
              </w:r>
            </w:p>
          </w:tc>
        </w:sdtContent>
      </w:sdt>
    </w:tr>
  </w:tbl>
  <w:p w14:paraId="4A5F76F4"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60288" behindDoc="1" locked="0" layoutInCell="1" allowOverlap="1" wp14:anchorId="6D82C735" wp14:editId="4D2120E2">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4B634136" w14:textId="77777777" w:rsidR="00B72132" w:rsidRDefault="00B72132" w:rsidP="00B72132">
    <w:pPr>
      <w:pStyle w:val="Header"/>
      <w:pBdr>
        <w:bottom w:val="none" w:sz="0" w:space="0" w:color="auto"/>
      </w:pBdr>
    </w:pPr>
  </w:p>
  <w:p w14:paraId="39C994E7" w14:textId="77777777" w:rsidR="00B72132" w:rsidRPr="001D243C" w:rsidRDefault="00B72132" w:rsidP="00B72132">
    <w:pPr>
      <w:pStyle w:val="Header"/>
      <w:pBdr>
        <w:bottom w:val="none" w:sz="0" w:space="0" w:color="auto"/>
      </w:pBdr>
    </w:pPr>
  </w:p>
  <w:p w14:paraId="0562250F" w14:textId="77777777" w:rsidR="00B72132" w:rsidRPr="00B72132" w:rsidRDefault="00B72132" w:rsidP="00B7213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CE410" w14:textId="77777777" w:rsidR="00F126B3" w:rsidRDefault="00F126B3" w:rsidP="00F126B3">
    <w:pPr>
      <w:pStyle w:val="Header"/>
      <w:pBdr>
        <w:bottom w:val="none" w:sz="0" w:space="0" w:color="auto"/>
      </w:pBdr>
    </w:pPr>
    <w:r w:rsidRPr="00DD3B24">
      <w:rPr>
        <w:noProof/>
      </w:rPr>
      <w:drawing>
        <wp:anchor distT="0" distB="0" distL="114300" distR="114300" simplePos="0" relativeHeight="251664384" behindDoc="1" locked="1" layoutInCell="1" allowOverlap="0" wp14:anchorId="0AF755D9" wp14:editId="4DA50DD8">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0EA5F143" w14:textId="77777777" w:rsidR="00F126B3" w:rsidRPr="009F3A1D" w:rsidRDefault="00D90058" w:rsidP="00F126B3">
    <w:pPr>
      <w:pStyle w:val="Header"/>
      <w:pBdr>
        <w:bottom w:val="single" w:sz="4" w:space="4" w:color="auto"/>
      </w:pBdr>
      <w:rPr>
        <w:sz w:val="24"/>
      </w:rPr>
    </w:pPr>
    <w:sdt>
      <w:sdtPr>
        <w:alias w:val="Title"/>
        <w:tag w:val="title"/>
        <w:id w:val="-644359137"/>
        <w:placeholder>
          <w:docPart w:val="3A41D81847984539BC408A33B4788CB8"/>
        </w:placeholder>
        <w:dataBinding w:prefixMappings="xmlns:ns0='http://purl.org/dc/elements/1.1/' xmlns:ns1='http://schemas.openxmlformats.org/package/2006/metadata/core-properties' " w:xpath="/ns1:coreProperties[1]/ns0:title[1]" w:storeItemID="{6C3C8BC8-F283-45AE-878A-BAB7291924A1}"/>
        <w:text/>
      </w:sdtPr>
      <w:sdtEndPr/>
      <w:sdtContent>
        <w:r w:rsidR="00B44751">
          <w:t>Removal of learners from clinical placements in relation to serious concerns</w:t>
        </w:r>
      </w:sdtContent>
    </w:sdt>
  </w:p>
  <w:p w14:paraId="0F255AB4"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14705B72"/>
    <w:lvl w:ilvl="0" w:tplc="6248F43C">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B2E47"/>
    <w:multiLevelType w:val="multilevel"/>
    <w:tmpl w:val="49AE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8A7FC7"/>
    <w:multiLevelType w:val="multilevel"/>
    <w:tmpl w:val="7B4445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B75AD"/>
    <w:multiLevelType w:val="multilevel"/>
    <w:tmpl w:val="5FCC8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2A7BCF"/>
    <w:multiLevelType w:val="multilevel"/>
    <w:tmpl w:val="04A8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710938"/>
    <w:multiLevelType w:val="multilevel"/>
    <w:tmpl w:val="D358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0E684E"/>
    <w:multiLevelType w:val="multilevel"/>
    <w:tmpl w:val="7DB278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EF12121"/>
    <w:multiLevelType w:val="multilevel"/>
    <w:tmpl w:val="4B4C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B57673"/>
    <w:multiLevelType w:val="multilevel"/>
    <w:tmpl w:val="CE182A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BB16E7"/>
    <w:multiLevelType w:val="multilevel"/>
    <w:tmpl w:val="BAF4AE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5A3C51"/>
    <w:multiLevelType w:val="multilevel"/>
    <w:tmpl w:val="8118FA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D65680"/>
    <w:multiLevelType w:val="multilevel"/>
    <w:tmpl w:val="549A24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973128"/>
    <w:multiLevelType w:val="multilevel"/>
    <w:tmpl w:val="12D2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F90084"/>
    <w:multiLevelType w:val="multilevel"/>
    <w:tmpl w:val="E2D48D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786A95"/>
    <w:multiLevelType w:val="multilevel"/>
    <w:tmpl w:val="3DFC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D0309D"/>
    <w:multiLevelType w:val="multilevel"/>
    <w:tmpl w:val="5208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5043B7"/>
    <w:multiLevelType w:val="multilevel"/>
    <w:tmpl w:val="03B0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2A3768"/>
    <w:multiLevelType w:val="multilevel"/>
    <w:tmpl w:val="B35ED2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9795252">
    <w:abstractNumId w:val="0"/>
  </w:num>
  <w:num w:numId="2" w16cid:durableId="1394693074">
    <w:abstractNumId w:val="12"/>
  </w:num>
  <w:num w:numId="3" w16cid:durableId="570964709">
    <w:abstractNumId w:val="7"/>
  </w:num>
  <w:num w:numId="4" w16cid:durableId="1333872438">
    <w:abstractNumId w:val="3"/>
  </w:num>
  <w:num w:numId="5" w16cid:durableId="63532603">
    <w:abstractNumId w:val="1"/>
  </w:num>
  <w:num w:numId="6" w16cid:durableId="910962291">
    <w:abstractNumId w:val="4"/>
  </w:num>
  <w:num w:numId="7" w16cid:durableId="1405255296">
    <w:abstractNumId w:val="5"/>
  </w:num>
  <w:num w:numId="8" w16cid:durableId="120415944">
    <w:abstractNumId w:val="17"/>
  </w:num>
  <w:num w:numId="9" w16cid:durableId="1651518775">
    <w:abstractNumId w:val="6"/>
  </w:num>
  <w:num w:numId="10" w16cid:durableId="678657244">
    <w:abstractNumId w:val="13"/>
  </w:num>
  <w:num w:numId="11" w16cid:durableId="829489306">
    <w:abstractNumId w:val="15"/>
  </w:num>
  <w:num w:numId="12" w16cid:durableId="1892421610">
    <w:abstractNumId w:val="2"/>
  </w:num>
  <w:num w:numId="13" w16cid:durableId="1525830215">
    <w:abstractNumId w:val="10"/>
  </w:num>
  <w:num w:numId="14" w16cid:durableId="2133792064">
    <w:abstractNumId w:val="19"/>
  </w:num>
  <w:num w:numId="15" w16cid:durableId="747969071">
    <w:abstractNumId w:val="9"/>
  </w:num>
  <w:num w:numId="16" w16cid:durableId="612976646">
    <w:abstractNumId w:val="11"/>
  </w:num>
  <w:num w:numId="17" w16cid:durableId="417600762">
    <w:abstractNumId w:val="8"/>
  </w:num>
  <w:num w:numId="18" w16cid:durableId="1681538873">
    <w:abstractNumId w:val="14"/>
  </w:num>
  <w:num w:numId="19" w16cid:durableId="706298739">
    <w:abstractNumId w:val="16"/>
  </w:num>
  <w:num w:numId="20" w16cid:durableId="160900678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058"/>
    <w:rsid w:val="00000197"/>
    <w:rsid w:val="000005C7"/>
    <w:rsid w:val="00003EE8"/>
    <w:rsid w:val="0000416F"/>
    <w:rsid w:val="00006985"/>
    <w:rsid w:val="000108B8"/>
    <w:rsid w:val="0001164C"/>
    <w:rsid w:val="000271F6"/>
    <w:rsid w:val="0003185C"/>
    <w:rsid w:val="00031FD0"/>
    <w:rsid w:val="00043B3C"/>
    <w:rsid w:val="00055630"/>
    <w:rsid w:val="00061452"/>
    <w:rsid w:val="000733A2"/>
    <w:rsid w:val="0008313C"/>
    <w:rsid w:val="000863E2"/>
    <w:rsid w:val="000935A1"/>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716E5"/>
    <w:rsid w:val="00174E90"/>
    <w:rsid w:val="0019592C"/>
    <w:rsid w:val="001C3565"/>
    <w:rsid w:val="001C6937"/>
    <w:rsid w:val="001D243C"/>
    <w:rsid w:val="001E004E"/>
    <w:rsid w:val="001E27F8"/>
    <w:rsid w:val="001F1FA4"/>
    <w:rsid w:val="001F3126"/>
    <w:rsid w:val="001F6355"/>
    <w:rsid w:val="0022134A"/>
    <w:rsid w:val="0022596F"/>
    <w:rsid w:val="002365A0"/>
    <w:rsid w:val="00240B6E"/>
    <w:rsid w:val="00245FE3"/>
    <w:rsid w:val="00246075"/>
    <w:rsid w:val="00251B94"/>
    <w:rsid w:val="00270DAD"/>
    <w:rsid w:val="002855F7"/>
    <w:rsid w:val="00294488"/>
    <w:rsid w:val="002A3F48"/>
    <w:rsid w:val="002A45CD"/>
    <w:rsid w:val="002B24BD"/>
    <w:rsid w:val="002B3BFD"/>
    <w:rsid w:val="002C0816"/>
    <w:rsid w:val="002F45CE"/>
    <w:rsid w:val="002F7B8F"/>
    <w:rsid w:val="0033715E"/>
    <w:rsid w:val="0034439B"/>
    <w:rsid w:val="003444C7"/>
    <w:rsid w:val="0034560E"/>
    <w:rsid w:val="0035386A"/>
    <w:rsid w:val="0035464A"/>
    <w:rsid w:val="00355C51"/>
    <w:rsid w:val="003A4B22"/>
    <w:rsid w:val="003B2686"/>
    <w:rsid w:val="003B6BB4"/>
    <w:rsid w:val="003D3A42"/>
    <w:rsid w:val="003E57B6"/>
    <w:rsid w:val="003F7B0C"/>
    <w:rsid w:val="00404068"/>
    <w:rsid w:val="00411D1D"/>
    <w:rsid w:val="00420E7F"/>
    <w:rsid w:val="00423FAF"/>
    <w:rsid w:val="00427636"/>
    <w:rsid w:val="00430131"/>
    <w:rsid w:val="00443088"/>
    <w:rsid w:val="00447E51"/>
    <w:rsid w:val="00454FC1"/>
    <w:rsid w:val="00455A3F"/>
    <w:rsid w:val="00472D33"/>
    <w:rsid w:val="00491977"/>
    <w:rsid w:val="00497DE0"/>
    <w:rsid w:val="004B626E"/>
    <w:rsid w:val="004C75CC"/>
    <w:rsid w:val="004D763F"/>
    <w:rsid w:val="004F0A67"/>
    <w:rsid w:val="004F1337"/>
    <w:rsid w:val="004F1C66"/>
    <w:rsid w:val="004F28CE"/>
    <w:rsid w:val="004F6303"/>
    <w:rsid w:val="005014AF"/>
    <w:rsid w:val="0052302B"/>
    <w:rsid w:val="0052756A"/>
    <w:rsid w:val="00534180"/>
    <w:rsid w:val="0053499D"/>
    <w:rsid w:val="00544C0C"/>
    <w:rsid w:val="005634F0"/>
    <w:rsid w:val="00577A42"/>
    <w:rsid w:val="0058121B"/>
    <w:rsid w:val="00584D6A"/>
    <w:rsid w:val="00590D21"/>
    <w:rsid w:val="005A3B89"/>
    <w:rsid w:val="005C068C"/>
    <w:rsid w:val="005C2644"/>
    <w:rsid w:val="005C3745"/>
    <w:rsid w:val="005D4E5A"/>
    <w:rsid w:val="005D61B4"/>
    <w:rsid w:val="005E044E"/>
    <w:rsid w:val="005F0359"/>
    <w:rsid w:val="00601DBA"/>
    <w:rsid w:val="00603A2C"/>
    <w:rsid w:val="00603F15"/>
    <w:rsid w:val="00613251"/>
    <w:rsid w:val="00614F79"/>
    <w:rsid w:val="00616632"/>
    <w:rsid w:val="0063502E"/>
    <w:rsid w:val="00651042"/>
    <w:rsid w:val="00654EE0"/>
    <w:rsid w:val="006679DE"/>
    <w:rsid w:val="00671B7A"/>
    <w:rsid w:val="00672717"/>
    <w:rsid w:val="00675E35"/>
    <w:rsid w:val="00684633"/>
    <w:rsid w:val="00692041"/>
    <w:rsid w:val="00694FC4"/>
    <w:rsid w:val="006B24EC"/>
    <w:rsid w:val="006C7386"/>
    <w:rsid w:val="006D02E8"/>
    <w:rsid w:val="006E2FE7"/>
    <w:rsid w:val="006F37F0"/>
    <w:rsid w:val="00702B4D"/>
    <w:rsid w:val="00710E40"/>
    <w:rsid w:val="007111D9"/>
    <w:rsid w:val="0071497F"/>
    <w:rsid w:val="00723A85"/>
    <w:rsid w:val="0073429A"/>
    <w:rsid w:val="007375BC"/>
    <w:rsid w:val="00740573"/>
    <w:rsid w:val="00753953"/>
    <w:rsid w:val="00761E45"/>
    <w:rsid w:val="00763FA3"/>
    <w:rsid w:val="007663CB"/>
    <w:rsid w:val="00796E96"/>
    <w:rsid w:val="007A1D0E"/>
    <w:rsid w:val="007B62EE"/>
    <w:rsid w:val="007D1E52"/>
    <w:rsid w:val="007E4138"/>
    <w:rsid w:val="007F5954"/>
    <w:rsid w:val="00801629"/>
    <w:rsid w:val="00811505"/>
    <w:rsid w:val="00811876"/>
    <w:rsid w:val="0081544B"/>
    <w:rsid w:val="00842D21"/>
    <w:rsid w:val="00853A57"/>
    <w:rsid w:val="00855D19"/>
    <w:rsid w:val="00856061"/>
    <w:rsid w:val="008625E8"/>
    <w:rsid w:val="00864885"/>
    <w:rsid w:val="008744B1"/>
    <w:rsid w:val="00880D4A"/>
    <w:rsid w:val="00897829"/>
    <w:rsid w:val="008A3E2F"/>
    <w:rsid w:val="008C7569"/>
    <w:rsid w:val="008D2816"/>
    <w:rsid w:val="008D50ED"/>
    <w:rsid w:val="008D5572"/>
    <w:rsid w:val="008D5953"/>
    <w:rsid w:val="008E2296"/>
    <w:rsid w:val="008F6069"/>
    <w:rsid w:val="00905552"/>
    <w:rsid w:val="00917854"/>
    <w:rsid w:val="00922AD1"/>
    <w:rsid w:val="0094128E"/>
    <w:rsid w:val="00943EC5"/>
    <w:rsid w:val="00970C89"/>
    <w:rsid w:val="00987163"/>
    <w:rsid w:val="00990E1C"/>
    <w:rsid w:val="009A0001"/>
    <w:rsid w:val="009B0321"/>
    <w:rsid w:val="009B47EA"/>
    <w:rsid w:val="009B6565"/>
    <w:rsid w:val="009C27F0"/>
    <w:rsid w:val="009D24D4"/>
    <w:rsid w:val="009F09FD"/>
    <w:rsid w:val="009F1650"/>
    <w:rsid w:val="009F2A20"/>
    <w:rsid w:val="009F4912"/>
    <w:rsid w:val="009F7412"/>
    <w:rsid w:val="00A02EEF"/>
    <w:rsid w:val="00A03469"/>
    <w:rsid w:val="00A124B9"/>
    <w:rsid w:val="00A24407"/>
    <w:rsid w:val="00A268E2"/>
    <w:rsid w:val="00A646D7"/>
    <w:rsid w:val="00A66950"/>
    <w:rsid w:val="00A75B7E"/>
    <w:rsid w:val="00A812B3"/>
    <w:rsid w:val="00AB3248"/>
    <w:rsid w:val="00AB731C"/>
    <w:rsid w:val="00AC103C"/>
    <w:rsid w:val="00AC35F8"/>
    <w:rsid w:val="00AC7958"/>
    <w:rsid w:val="00AD13C4"/>
    <w:rsid w:val="00AE45DB"/>
    <w:rsid w:val="00AE554A"/>
    <w:rsid w:val="00AE6B55"/>
    <w:rsid w:val="00AF1A1E"/>
    <w:rsid w:val="00AF7217"/>
    <w:rsid w:val="00B0246A"/>
    <w:rsid w:val="00B051B5"/>
    <w:rsid w:val="00B177AF"/>
    <w:rsid w:val="00B44751"/>
    <w:rsid w:val="00B44DD5"/>
    <w:rsid w:val="00B57496"/>
    <w:rsid w:val="00B72132"/>
    <w:rsid w:val="00B738AB"/>
    <w:rsid w:val="00B7725C"/>
    <w:rsid w:val="00B77C41"/>
    <w:rsid w:val="00B81669"/>
    <w:rsid w:val="00B907B5"/>
    <w:rsid w:val="00BA6DA0"/>
    <w:rsid w:val="00BC294E"/>
    <w:rsid w:val="00BC5961"/>
    <w:rsid w:val="00BC5F53"/>
    <w:rsid w:val="00BC78C6"/>
    <w:rsid w:val="00BE0046"/>
    <w:rsid w:val="00BE6447"/>
    <w:rsid w:val="00BF4F1C"/>
    <w:rsid w:val="00C01D97"/>
    <w:rsid w:val="00C021AB"/>
    <w:rsid w:val="00C07F6B"/>
    <w:rsid w:val="00C15176"/>
    <w:rsid w:val="00C2506B"/>
    <w:rsid w:val="00C37063"/>
    <w:rsid w:val="00C40AAB"/>
    <w:rsid w:val="00C52947"/>
    <w:rsid w:val="00C669E0"/>
    <w:rsid w:val="00C67367"/>
    <w:rsid w:val="00C846FE"/>
    <w:rsid w:val="00C85F4A"/>
    <w:rsid w:val="00C92413"/>
    <w:rsid w:val="00CA0FAC"/>
    <w:rsid w:val="00CA667A"/>
    <w:rsid w:val="00CC7B1C"/>
    <w:rsid w:val="00CE086C"/>
    <w:rsid w:val="00CF4C68"/>
    <w:rsid w:val="00CF7DA5"/>
    <w:rsid w:val="00D2315A"/>
    <w:rsid w:val="00D356F8"/>
    <w:rsid w:val="00D425F2"/>
    <w:rsid w:val="00D50FF0"/>
    <w:rsid w:val="00D66537"/>
    <w:rsid w:val="00D90058"/>
    <w:rsid w:val="00D92BBC"/>
    <w:rsid w:val="00D93D0D"/>
    <w:rsid w:val="00DA5512"/>
    <w:rsid w:val="00DA589B"/>
    <w:rsid w:val="00DC7A9D"/>
    <w:rsid w:val="00DD1729"/>
    <w:rsid w:val="00DD3B24"/>
    <w:rsid w:val="00DD77F0"/>
    <w:rsid w:val="00DD7C30"/>
    <w:rsid w:val="00DE3AB8"/>
    <w:rsid w:val="00DF4DBC"/>
    <w:rsid w:val="00E07DBB"/>
    <w:rsid w:val="00E45C31"/>
    <w:rsid w:val="00E5122E"/>
    <w:rsid w:val="00E5704B"/>
    <w:rsid w:val="00E85295"/>
    <w:rsid w:val="00E93A16"/>
    <w:rsid w:val="00EB1195"/>
    <w:rsid w:val="00EB4C88"/>
    <w:rsid w:val="00EB6372"/>
    <w:rsid w:val="00EC37E3"/>
    <w:rsid w:val="00EC5299"/>
    <w:rsid w:val="00ED3649"/>
    <w:rsid w:val="00EE0481"/>
    <w:rsid w:val="00F06F3B"/>
    <w:rsid w:val="00F126B3"/>
    <w:rsid w:val="00F13D85"/>
    <w:rsid w:val="00F25CC7"/>
    <w:rsid w:val="00F42EB9"/>
    <w:rsid w:val="00F454BD"/>
    <w:rsid w:val="00F523E6"/>
    <w:rsid w:val="00F5718C"/>
    <w:rsid w:val="00F609E1"/>
    <w:rsid w:val="00F61204"/>
    <w:rsid w:val="00F64933"/>
    <w:rsid w:val="00F8486E"/>
    <w:rsid w:val="00F8709D"/>
    <w:rsid w:val="00F94E17"/>
    <w:rsid w:val="00FA30C8"/>
    <w:rsid w:val="00FA4212"/>
    <w:rsid w:val="00FB4899"/>
    <w:rsid w:val="00FB4EB0"/>
    <w:rsid w:val="00FE211E"/>
    <w:rsid w:val="00FE59C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0075A1"/>
  <w15:docId w15:val="{FF83ECD8-0296-42FD-8D9B-E2C75885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F64933"/>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F64933"/>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355C51"/>
    <w:pPr>
      <w:numPr>
        <w:numId w:val="1"/>
      </w:numPr>
      <w:autoSpaceDE w:val="0"/>
      <w:autoSpaceDN w:val="0"/>
      <w:adjustRightInd w:val="0"/>
      <w:spacing w:after="240"/>
      <w:ind w:left="924" w:hanging="357"/>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355C51"/>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qFormat/>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355C51"/>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semiHidden/>
    <w:rsid w:val="0019592C"/>
    <w:pPr>
      <w:spacing w:line="240" w:lineRule="auto"/>
    </w:pPr>
    <w:rPr>
      <w:sz w:val="20"/>
      <w:szCs w:val="20"/>
    </w:rPr>
  </w:style>
  <w:style w:type="character" w:customStyle="1" w:styleId="CommentTextChar">
    <w:name w:val="Comment Text Char"/>
    <w:basedOn w:val="DefaultParagraphFont"/>
    <w:link w:val="CommentText"/>
    <w:uiPriority w:val="99"/>
    <w:semiHidden/>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customStyle="1" w:styleId="paragraph">
    <w:name w:val="paragraph"/>
    <w:basedOn w:val="Normal"/>
    <w:rsid w:val="004F1C66"/>
    <w:pPr>
      <w:spacing w:before="100" w:beforeAutospacing="1" w:after="100" w:afterAutospacing="1" w:line="240" w:lineRule="auto"/>
      <w:textboxTightWrap w:val="none"/>
    </w:pPr>
    <w:rPr>
      <w:rFonts w:ascii="Times New Roman" w:hAnsi="Times New Roman"/>
      <w:color w:val="auto"/>
      <w:lang w:eastAsia="en-GB"/>
    </w:rPr>
  </w:style>
  <w:style w:type="character" w:customStyle="1" w:styleId="normaltextrun">
    <w:name w:val="normaltextrun"/>
    <w:basedOn w:val="DefaultParagraphFont"/>
    <w:rsid w:val="004F1C66"/>
  </w:style>
  <w:style w:type="character" w:customStyle="1" w:styleId="eop">
    <w:name w:val="eop"/>
    <w:basedOn w:val="DefaultParagraphFont"/>
    <w:rsid w:val="004F1C66"/>
  </w:style>
  <w:style w:type="character" w:customStyle="1" w:styleId="superscript">
    <w:name w:val="superscript"/>
    <w:basedOn w:val="DefaultParagraphFont"/>
    <w:rsid w:val="004F1C66"/>
  </w:style>
  <w:style w:type="character" w:customStyle="1" w:styleId="scxw27358826">
    <w:name w:val="scxw27358826"/>
    <w:basedOn w:val="DefaultParagraphFont"/>
    <w:rsid w:val="004F1C66"/>
  </w:style>
  <w:style w:type="character" w:customStyle="1" w:styleId="wacimagecontainer">
    <w:name w:val="wacimagecontainer"/>
    <w:basedOn w:val="DefaultParagraphFont"/>
    <w:rsid w:val="004F1C66"/>
  </w:style>
  <w:style w:type="character" w:customStyle="1" w:styleId="tabchar">
    <w:name w:val="tabchar"/>
    <w:basedOn w:val="DefaultParagraphFont"/>
    <w:rsid w:val="004F1C66"/>
  </w:style>
  <w:style w:type="character" w:customStyle="1" w:styleId="scxw51105095">
    <w:name w:val="scxw51105095"/>
    <w:basedOn w:val="DefaultParagraphFont"/>
    <w:rsid w:val="004F1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61679">
      <w:bodyDiv w:val="1"/>
      <w:marLeft w:val="0"/>
      <w:marRight w:val="0"/>
      <w:marTop w:val="0"/>
      <w:marBottom w:val="0"/>
      <w:divBdr>
        <w:top w:val="none" w:sz="0" w:space="0" w:color="auto"/>
        <w:left w:val="none" w:sz="0" w:space="0" w:color="auto"/>
        <w:bottom w:val="none" w:sz="0" w:space="0" w:color="auto"/>
        <w:right w:val="none" w:sz="0" w:space="0" w:color="auto"/>
      </w:divBdr>
      <w:divsChild>
        <w:div w:id="1069382175">
          <w:marLeft w:val="0"/>
          <w:marRight w:val="0"/>
          <w:marTop w:val="0"/>
          <w:marBottom w:val="0"/>
          <w:divBdr>
            <w:top w:val="none" w:sz="0" w:space="0" w:color="auto"/>
            <w:left w:val="none" w:sz="0" w:space="0" w:color="auto"/>
            <w:bottom w:val="none" w:sz="0" w:space="0" w:color="auto"/>
            <w:right w:val="none" w:sz="0" w:space="0" w:color="auto"/>
          </w:divBdr>
        </w:div>
        <w:div w:id="2070105959">
          <w:marLeft w:val="0"/>
          <w:marRight w:val="0"/>
          <w:marTop w:val="0"/>
          <w:marBottom w:val="0"/>
          <w:divBdr>
            <w:top w:val="none" w:sz="0" w:space="0" w:color="auto"/>
            <w:left w:val="none" w:sz="0" w:space="0" w:color="auto"/>
            <w:bottom w:val="none" w:sz="0" w:space="0" w:color="auto"/>
            <w:right w:val="none" w:sz="0" w:space="0" w:color="auto"/>
          </w:divBdr>
          <w:divsChild>
            <w:div w:id="755790001">
              <w:marLeft w:val="0"/>
              <w:marRight w:val="0"/>
              <w:marTop w:val="0"/>
              <w:marBottom w:val="0"/>
              <w:divBdr>
                <w:top w:val="none" w:sz="0" w:space="0" w:color="auto"/>
                <w:left w:val="none" w:sz="0" w:space="0" w:color="auto"/>
                <w:bottom w:val="none" w:sz="0" w:space="0" w:color="auto"/>
                <w:right w:val="none" w:sz="0" w:space="0" w:color="auto"/>
              </w:divBdr>
            </w:div>
            <w:div w:id="1351297442">
              <w:marLeft w:val="0"/>
              <w:marRight w:val="0"/>
              <w:marTop w:val="0"/>
              <w:marBottom w:val="0"/>
              <w:divBdr>
                <w:top w:val="none" w:sz="0" w:space="0" w:color="auto"/>
                <w:left w:val="none" w:sz="0" w:space="0" w:color="auto"/>
                <w:bottom w:val="none" w:sz="0" w:space="0" w:color="auto"/>
                <w:right w:val="none" w:sz="0" w:space="0" w:color="auto"/>
              </w:divBdr>
            </w:div>
            <w:div w:id="1779450349">
              <w:marLeft w:val="0"/>
              <w:marRight w:val="0"/>
              <w:marTop w:val="0"/>
              <w:marBottom w:val="0"/>
              <w:divBdr>
                <w:top w:val="none" w:sz="0" w:space="0" w:color="auto"/>
                <w:left w:val="none" w:sz="0" w:space="0" w:color="auto"/>
                <w:bottom w:val="none" w:sz="0" w:space="0" w:color="auto"/>
                <w:right w:val="none" w:sz="0" w:space="0" w:color="auto"/>
              </w:divBdr>
            </w:div>
            <w:div w:id="480081940">
              <w:marLeft w:val="0"/>
              <w:marRight w:val="0"/>
              <w:marTop w:val="0"/>
              <w:marBottom w:val="0"/>
              <w:divBdr>
                <w:top w:val="none" w:sz="0" w:space="0" w:color="auto"/>
                <w:left w:val="none" w:sz="0" w:space="0" w:color="auto"/>
                <w:bottom w:val="none" w:sz="0" w:space="0" w:color="auto"/>
                <w:right w:val="none" w:sz="0" w:space="0" w:color="auto"/>
              </w:divBdr>
            </w:div>
            <w:div w:id="1286473458">
              <w:marLeft w:val="0"/>
              <w:marRight w:val="0"/>
              <w:marTop w:val="0"/>
              <w:marBottom w:val="0"/>
              <w:divBdr>
                <w:top w:val="none" w:sz="0" w:space="0" w:color="auto"/>
                <w:left w:val="none" w:sz="0" w:space="0" w:color="auto"/>
                <w:bottom w:val="none" w:sz="0" w:space="0" w:color="auto"/>
                <w:right w:val="none" w:sz="0" w:space="0" w:color="auto"/>
              </w:divBdr>
            </w:div>
            <w:div w:id="2066366191">
              <w:marLeft w:val="0"/>
              <w:marRight w:val="0"/>
              <w:marTop w:val="0"/>
              <w:marBottom w:val="0"/>
              <w:divBdr>
                <w:top w:val="none" w:sz="0" w:space="0" w:color="auto"/>
                <w:left w:val="none" w:sz="0" w:space="0" w:color="auto"/>
                <w:bottom w:val="none" w:sz="0" w:space="0" w:color="auto"/>
                <w:right w:val="none" w:sz="0" w:space="0" w:color="auto"/>
              </w:divBdr>
            </w:div>
            <w:div w:id="1964573173">
              <w:marLeft w:val="0"/>
              <w:marRight w:val="0"/>
              <w:marTop w:val="0"/>
              <w:marBottom w:val="0"/>
              <w:divBdr>
                <w:top w:val="none" w:sz="0" w:space="0" w:color="auto"/>
                <w:left w:val="none" w:sz="0" w:space="0" w:color="auto"/>
                <w:bottom w:val="none" w:sz="0" w:space="0" w:color="auto"/>
                <w:right w:val="none" w:sz="0" w:space="0" w:color="auto"/>
              </w:divBdr>
            </w:div>
            <w:div w:id="255360023">
              <w:marLeft w:val="0"/>
              <w:marRight w:val="0"/>
              <w:marTop w:val="0"/>
              <w:marBottom w:val="0"/>
              <w:divBdr>
                <w:top w:val="none" w:sz="0" w:space="0" w:color="auto"/>
                <w:left w:val="none" w:sz="0" w:space="0" w:color="auto"/>
                <w:bottom w:val="none" w:sz="0" w:space="0" w:color="auto"/>
                <w:right w:val="none" w:sz="0" w:space="0" w:color="auto"/>
              </w:divBdr>
            </w:div>
            <w:div w:id="451049531">
              <w:marLeft w:val="0"/>
              <w:marRight w:val="0"/>
              <w:marTop w:val="0"/>
              <w:marBottom w:val="0"/>
              <w:divBdr>
                <w:top w:val="none" w:sz="0" w:space="0" w:color="auto"/>
                <w:left w:val="none" w:sz="0" w:space="0" w:color="auto"/>
                <w:bottom w:val="none" w:sz="0" w:space="0" w:color="auto"/>
                <w:right w:val="none" w:sz="0" w:space="0" w:color="auto"/>
              </w:divBdr>
            </w:div>
            <w:div w:id="158694594">
              <w:marLeft w:val="0"/>
              <w:marRight w:val="0"/>
              <w:marTop w:val="0"/>
              <w:marBottom w:val="0"/>
              <w:divBdr>
                <w:top w:val="none" w:sz="0" w:space="0" w:color="auto"/>
                <w:left w:val="none" w:sz="0" w:space="0" w:color="auto"/>
                <w:bottom w:val="none" w:sz="0" w:space="0" w:color="auto"/>
                <w:right w:val="none" w:sz="0" w:space="0" w:color="auto"/>
              </w:divBdr>
            </w:div>
            <w:div w:id="1458184552">
              <w:marLeft w:val="0"/>
              <w:marRight w:val="0"/>
              <w:marTop w:val="0"/>
              <w:marBottom w:val="0"/>
              <w:divBdr>
                <w:top w:val="none" w:sz="0" w:space="0" w:color="auto"/>
                <w:left w:val="none" w:sz="0" w:space="0" w:color="auto"/>
                <w:bottom w:val="none" w:sz="0" w:space="0" w:color="auto"/>
                <w:right w:val="none" w:sz="0" w:space="0" w:color="auto"/>
              </w:divBdr>
            </w:div>
            <w:div w:id="823938441">
              <w:marLeft w:val="0"/>
              <w:marRight w:val="0"/>
              <w:marTop w:val="0"/>
              <w:marBottom w:val="0"/>
              <w:divBdr>
                <w:top w:val="none" w:sz="0" w:space="0" w:color="auto"/>
                <w:left w:val="none" w:sz="0" w:space="0" w:color="auto"/>
                <w:bottom w:val="none" w:sz="0" w:space="0" w:color="auto"/>
                <w:right w:val="none" w:sz="0" w:space="0" w:color="auto"/>
              </w:divBdr>
            </w:div>
            <w:div w:id="672145746">
              <w:marLeft w:val="0"/>
              <w:marRight w:val="0"/>
              <w:marTop w:val="0"/>
              <w:marBottom w:val="0"/>
              <w:divBdr>
                <w:top w:val="none" w:sz="0" w:space="0" w:color="auto"/>
                <w:left w:val="none" w:sz="0" w:space="0" w:color="auto"/>
                <w:bottom w:val="none" w:sz="0" w:space="0" w:color="auto"/>
                <w:right w:val="none" w:sz="0" w:space="0" w:color="auto"/>
              </w:divBdr>
            </w:div>
            <w:div w:id="1717504536">
              <w:marLeft w:val="0"/>
              <w:marRight w:val="0"/>
              <w:marTop w:val="0"/>
              <w:marBottom w:val="0"/>
              <w:divBdr>
                <w:top w:val="none" w:sz="0" w:space="0" w:color="auto"/>
                <w:left w:val="none" w:sz="0" w:space="0" w:color="auto"/>
                <w:bottom w:val="none" w:sz="0" w:space="0" w:color="auto"/>
                <w:right w:val="none" w:sz="0" w:space="0" w:color="auto"/>
              </w:divBdr>
            </w:div>
            <w:div w:id="1078402652">
              <w:marLeft w:val="0"/>
              <w:marRight w:val="0"/>
              <w:marTop w:val="0"/>
              <w:marBottom w:val="0"/>
              <w:divBdr>
                <w:top w:val="none" w:sz="0" w:space="0" w:color="auto"/>
                <w:left w:val="none" w:sz="0" w:space="0" w:color="auto"/>
                <w:bottom w:val="none" w:sz="0" w:space="0" w:color="auto"/>
                <w:right w:val="none" w:sz="0" w:space="0" w:color="auto"/>
              </w:divBdr>
            </w:div>
            <w:div w:id="1246956411">
              <w:marLeft w:val="0"/>
              <w:marRight w:val="0"/>
              <w:marTop w:val="0"/>
              <w:marBottom w:val="0"/>
              <w:divBdr>
                <w:top w:val="none" w:sz="0" w:space="0" w:color="auto"/>
                <w:left w:val="none" w:sz="0" w:space="0" w:color="auto"/>
                <w:bottom w:val="none" w:sz="0" w:space="0" w:color="auto"/>
                <w:right w:val="none" w:sz="0" w:space="0" w:color="auto"/>
              </w:divBdr>
            </w:div>
            <w:div w:id="123043627">
              <w:marLeft w:val="0"/>
              <w:marRight w:val="0"/>
              <w:marTop w:val="0"/>
              <w:marBottom w:val="0"/>
              <w:divBdr>
                <w:top w:val="none" w:sz="0" w:space="0" w:color="auto"/>
                <w:left w:val="none" w:sz="0" w:space="0" w:color="auto"/>
                <w:bottom w:val="none" w:sz="0" w:space="0" w:color="auto"/>
                <w:right w:val="none" w:sz="0" w:space="0" w:color="auto"/>
              </w:divBdr>
            </w:div>
            <w:div w:id="1346590957">
              <w:marLeft w:val="0"/>
              <w:marRight w:val="0"/>
              <w:marTop w:val="0"/>
              <w:marBottom w:val="0"/>
              <w:divBdr>
                <w:top w:val="none" w:sz="0" w:space="0" w:color="auto"/>
                <w:left w:val="none" w:sz="0" w:space="0" w:color="auto"/>
                <w:bottom w:val="none" w:sz="0" w:space="0" w:color="auto"/>
                <w:right w:val="none" w:sz="0" w:space="0" w:color="auto"/>
              </w:divBdr>
            </w:div>
            <w:div w:id="813564821">
              <w:marLeft w:val="0"/>
              <w:marRight w:val="0"/>
              <w:marTop w:val="0"/>
              <w:marBottom w:val="0"/>
              <w:divBdr>
                <w:top w:val="none" w:sz="0" w:space="0" w:color="auto"/>
                <w:left w:val="none" w:sz="0" w:space="0" w:color="auto"/>
                <w:bottom w:val="none" w:sz="0" w:space="0" w:color="auto"/>
                <w:right w:val="none" w:sz="0" w:space="0" w:color="auto"/>
              </w:divBdr>
            </w:div>
            <w:div w:id="1901282409">
              <w:marLeft w:val="0"/>
              <w:marRight w:val="0"/>
              <w:marTop w:val="0"/>
              <w:marBottom w:val="0"/>
              <w:divBdr>
                <w:top w:val="none" w:sz="0" w:space="0" w:color="auto"/>
                <w:left w:val="none" w:sz="0" w:space="0" w:color="auto"/>
                <w:bottom w:val="none" w:sz="0" w:space="0" w:color="auto"/>
                <w:right w:val="none" w:sz="0" w:space="0" w:color="auto"/>
              </w:divBdr>
            </w:div>
          </w:divsChild>
        </w:div>
        <w:div w:id="1085296607">
          <w:marLeft w:val="0"/>
          <w:marRight w:val="0"/>
          <w:marTop w:val="0"/>
          <w:marBottom w:val="0"/>
          <w:divBdr>
            <w:top w:val="none" w:sz="0" w:space="0" w:color="auto"/>
            <w:left w:val="none" w:sz="0" w:space="0" w:color="auto"/>
            <w:bottom w:val="none" w:sz="0" w:space="0" w:color="auto"/>
            <w:right w:val="none" w:sz="0" w:space="0" w:color="auto"/>
          </w:divBdr>
        </w:div>
        <w:div w:id="1248927076">
          <w:marLeft w:val="0"/>
          <w:marRight w:val="0"/>
          <w:marTop w:val="0"/>
          <w:marBottom w:val="0"/>
          <w:divBdr>
            <w:top w:val="none" w:sz="0" w:space="0" w:color="auto"/>
            <w:left w:val="none" w:sz="0" w:space="0" w:color="auto"/>
            <w:bottom w:val="none" w:sz="0" w:space="0" w:color="auto"/>
            <w:right w:val="none" w:sz="0" w:space="0" w:color="auto"/>
          </w:divBdr>
        </w:div>
        <w:div w:id="666832286">
          <w:marLeft w:val="0"/>
          <w:marRight w:val="0"/>
          <w:marTop w:val="0"/>
          <w:marBottom w:val="0"/>
          <w:divBdr>
            <w:top w:val="none" w:sz="0" w:space="0" w:color="auto"/>
            <w:left w:val="none" w:sz="0" w:space="0" w:color="auto"/>
            <w:bottom w:val="none" w:sz="0" w:space="0" w:color="auto"/>
            <w:right w:val="none" w:sz="0" w:space="0" w:color="auto"/>
          </w:divBdr>
        </w:div>
        <w:div w:id="74481329">
          <w:marLeft w:val="0"/>
          <w:marRight w:val="0"/>
          <w:marTop w:val="0"/>
          <w:marBottom w:val="0"/>
          <w:divBdr>
            <w:top w:val="none" w:sz="0" w:space="0" w:color="auto"/>
            <w:left w:val="none" w:sz="0" w:space="0" w:color="auto"/>
            <w:bottom w:val="none" w:sz="0" w:space="0" w:color="auto"/>
            <w:right w:val="none" w:sz="0" w:space="0" w:color="auto"/>
          </w:divBdr>
        </w:div>
        <w:div w:id="52316282">
          <w:marLeft w:val="0"/>
          <w:marRight w:val="0"/>
          <w:marTop w:val="0"/>
          <w:marBottom w:val="0"/>
          <w:divBdr>
            <w:top w:val="none" w:sz="0" w:space="0" w:color="auto"/>
            <w:left w:val="none" w:sz="0" w:space="0" w:color="auto"/>
            <w:bottom w:val="none" w:sz="0" w:space="0" w:color="auto"/>
            <w:right w:val="none" w:sz="0" w:space="0" w:color="auto"/>
          </w:divBdr>
        </w:div>
        <w:div w:id="306522001">
          <w:marLeft w:val="0"/>
          <w:marRight w:val="0"/>
          <w:marTop w:val="0"/>
          <w:marBottom w:val="0"/>
          <w:divBdr>
            <w:top w:val="none" w:sz="0" w:space="0" w:color="auto"/>
            <w:left w:val="none" w:sz="0" w:space="0" w:color="auto"/>
            <w:bottom w:val="none" w:sz="0" w:space="0" w:color="auto"/>
            <w:right w:val="none" w:sz="0" w:space="0" w:color="auto"/>
          </w:divBdr>
        </w:div>
        <w:div w:id="2008482233">
          <w:marLeft w:val="0"/>
          <w:marRight w:val="0"/>
          <w:marTop w:val="0"/>
          <w:marBottom w:val="0"/>
          <w:divBdr>
            <w:top w:val="none" w:sz="0" w:space="0" w:color="auto"/>
            <w:left w:val="none" w:sz="0" w:space="0" w:color="auto"/>
            <w:bottom w:val="none" w:sz="0" w:space="0" w:color="auto"/>
            <w:right w:val="none" w:sz="0" w:space="0" w:color="auto"/>
          </w:divBdr>
        </w:div>
        <w:div w:id="595402246">
          <w:marLeft w:val="0"/>
          <w:marRight w:val="0"/>
          <w:marTop w:val="0"/>
          <w:marBottom w:val="0"/>
          <w:divBdr>
            <w:top w:val="none" w:sz="0" w:space="0" w:color="auto"/>
            <w:left w:val="none" w:sz="0" w:space="0" w:color="auto"/>
            <w:bottom w:val="none" w:sz="0" w:space="0" w:color="auto"/>
            <w:right w:val="none" w:sz="0" w:space="0" w:color="auto"/>
          </w:divBdr>
        </w:div>
        <w:div w:id="1410887705">
          <w:marLeft w:val="0"/>
          <w:marRight w:val="0"/>
          <w:marTop w:val="0"/>
          <w:marBottom w:val="0"/>
          <w:divBdr>
            <w:top w:val="none" w:sz="0" w:space="0" w:color="auto"/>
            <w:left w:val="none" w:sz="0" w:space="0" w:color="auto"/>
            <w:bottom w:val="none" w:sz="0" w:space="0" w:color="auto"/>
            <w:right w:val="none" w:sz="0" w:space="0" w:color="auto"/>
          </w:divBdr>
        </w:div>
        <w:div w:id="559096757">
          <w:marLeft w:val="0"/>
          <w:marRight w:val="0"/>
          <w:marTop w:val="0"/>
          <w:marBottom w:val="0"/>
          <w:divBdr>
            <w:top w:val="none" w:sz="0" w:space="0" w:color="auto"/>
            <w:left w:val="none" w:sz="0" w:space="0" w:color="auto"/>
            <w:bottom w:val="none" w:sz="0" w:space="0" w:color="auto"/>
            <w:right w:val="none" w:sz="0" w:space="0" w:color="auto"/>
          </w:divBdr>
        </w:div>
        <w:div w:id="1759213818">
          <w:marLeft w:val="0"/>
          <w:marRight w:val="0"/>
          <w:marTop w:val="0"/>
          <w:marBottom w:val="0"/>
          <w:divBdr>
            <w:top w:val="none" w:sz="0" w:space="0" w:color="auto"/>
            <w:left w:val="none" w:sz="0" w:space="0" w:color="auto"/>
            <w:bottom w:val="none" w:sz="0" w:space="0" w:color="auto"/>
            <w:right w:val="none" w:sz="0" w:space="0" w:color="auto"/>
          </w:divBdr>
        </w:div>
        <w:div w:id="1292708271">
          <w:marLeft w:val="0"/>
          <w:marRight w:val="0"/>
          <w:marTop w:val="0"/>
          <w:marBottom w:val="0"/>
          <w:divBdr>
            <w:top w:val="none" w:sz="0" w:space="0" w:color="auto"/>
            <w:left w:val="none" w:sz="0" w:space="0" w:color="auto"/>
            <w:bottom w:val="none" w:sz="0" w:space="0" w:color="auto"/>
            <w:right w:val="none" w:sz="0" w:space="0" w:color="auto"/>
          </w:divBdr>
        </w:div>
        <w:div w:id="711541380">
          <w:marLeft w:val="0"/>
          <w:marRight w:val="0"/>
          <w:marTop w:val="0"/>
          <w:marBottom w:val="0"/>
          <w:divBdr>
            <w:top w:val="none" w:sz="0" w:space="0" w:color="auto"/>
            <w:left w:val="none" w:sz="0" w:space="0" w:color="auto"/>
            <w:bottom w:val="none" w:sz="0" w:space="0" w:color="auto"/>
            <w:right w:val="none" w:sz="0" w:space="0" w:color="auto"/>
          </w:divBdr>
        </w:div>
        <w:div w:id="1644314006">
          <w:marLeft w:val="0"/>
          <w:marRight w:val="0"/>
          <w:marTop w:val="0"/>
          <w:marBottom w:val="0"/>
          <w:divBdr>
            <w:top w:val="none" w:sz="0" w:space="0" w:color="auto"/>
            <w:left w:val="none" w:sz="0" w:space="0" w:color="auto"/>
            <w:bottom w:val="none" w:sz="0" w:space="0" w:color="auto"/>
            <w:right w:val="none" w:sz="0" w:space="0" w:color="auto"/>
          </w:divBdr>
        </w:div>
        <w:div w:id="1240404702">
          <w:marLeft w:val="0"/>
          <w:marRight w:val="0"/>
          <w:marTop w:val="0"/>
          <w:marBottom w:val="0"/>
          <w:divBdr>
            <w:top w:val="none" w:sz="0" w:space="0" w:color="auto"/>
            <w:left w:val="none" w:sz="0" w:space="0" w:color="auto"/>
            <w:bottom w:val="none" w:sz="0" w:space="0" w:color="auto"/>
            <w:right w:val="none" w:sz="0" w:space="0" w:color="auto"/>
          </w:divBdr>
        </w:div>
        <w:div w:id="1262487845">
          <w:marLeft w:val="0"/>
          <w:marRight w:val="0"/>
          <w:marTop w:val="0"/>
          <w:marBottom w:val="0"/>
          <w:divBdr>
            <w:top w:val="none" w:sz="0" w:space="0" w:color="auto"/>
            <w:left w:val="none" w:sz="0" w:space="0" w:color="auto"/>
            <w:bottom w:val="none" w:sz="0" w:space="0" w:color="auto"/>
            <w:right w:val="none" w:sz="0" w:space="0" w:color="auto"/>
          </w:divBdr>
        </w:div>
        <w:div w:id="1512910478">
          <w:marLeft w:val="0"/>
          <w:marRight w:val="0"/>
          <w:marTop w:val="0"/>
          <w:marBottom w:val="0"/>
          <w:divBdr>
            <w:top w:val="none" w:sz="0" w:space="0" w:color="auto"/>
            <w:left w:val="none" w:sz="0" w:space="0" w:color="auto"/>
            <w:bottom w:val="none" w:sz="0" w:space="0" w:color="auto"/>
            <w:right w:val="none" w:sz="0" w:space="0" w:color="auto"/>
          </w:divBdr>
        </w:div>
        <w:div w:id="409080481">
          <w:marLeft w:val="0"/>
          <w:marRight w:val="0"/>
          <w:marTop w:val="0"/>
          <w:marBottom w:val="0"/>
          <w:divBdr>
            <w:top w:val="none" w:sz="0" w:space="0" w:color="auto"/>
            <w:left w:val="none" w:sz="0" w:space="0" w:color="auto"/>
            <w:bottom w:val="none" w:sz="0" w:space="0" w:color="auto"/>
            <w:right w:val="none" w:sz="0" w:space="0" w:color="auto"/>
          </w:divBdr>
        </w:div>
        <w:div w:id="818379058">
          <w:marLeft w:val="0"/>
          <w:marRight w:val="0"/>
          <w:marTop w:val="0"/>
          <w:marBottom w:val="0"/>
          <w:divBdr>
            <w:top w:val="none" w:sz="0" w:space="0" w:color="auto"/>
            <w:left w:val="none" w:sz="0" w:space="0" w:color="auto"/>
            <w:bottom w:val="none" w:sz="0" w:space="0" w:color="auto"/>
            <w:right w:val="none" w:sz="0" w:space="0" w:color="auto"/>
          </w:divBdr>
        </w:div>
        <w:div w:id="334958506">
          <w:marLeft w:val="0"/>
          <w:marRight w:val="0"/>
          <w:marTop w:val="0"/>
          <w:marBottom w:val="0"/>
          <w:divBdr>
            <w:top w:val="none" w:sz="0" w:space="0" w:color="auto"/>
            <w:left w:val="none" w:sz="0" w:space="0" w:color="auto"/>
            <w:bottom w:val="none" w:sz="0" w:space="0" w:color="auto"/>
            <w:right w:val="none" w:sz="0" w:space="0" w:color="auto"/>
          </w:divBdr>
        </w:div>
        <w:div w:id="1878270440">
          <w:marLeft w:val="0"/>
          <w:marRight w:val="0"/>
          <w:marTop w:val="0"/>
          <w:marBottom w:val="0"/>
          <w:divBdr>
            <w:top w:val="none" w:sz="0" w:space="0" w:color="auto"/>
            <w:left w:val="none" w:sz="0" w:space="0" w:color="auto"/>
            <w:bottom w:val="none" w:sz="0" w:space="0" w:color="auto"/>
            <w:right w:val="none" w:sz="0" w:space="0" w:color="auto"/>
          </w:divBdr>
        </w:div>
        <w:div w:id="1103065786">
          <w:marLeft w:val="0"/>
          <w:marRight w:val="0"/>
          <w:marTop w:val="0"/>
          <w:marBottom w:val="0"/>
          <w:divBdr>
            <w:top w:val="none" w:sz="0" w:space="0" w:color="auto"/>
            <w:left w:val="none" w:sz="0" w:space="0" w:color="auto"/>
            <w:bottom w:val="none" w:sz="0" w:space="0" w:color="auto"/>
            <w:right w:val="none" w:sz="0" w:space="0" w:color="auto"/>
          </w:divBdr>
        </w:div>
      </w:divsChild>
    </w:div>
    <w:div w:id="294609166">
      <w:bodyDiv w:val="1"/>
      <w:marLeft w:val="0"/>
      <w:marRight w:val="0"/>
      <w:marTop w:val="0"/>
      <w:marBottom w:val="0"/>
      <w:divBdr>
        <w:top w:val="none" w:sz="0" w:space="0" w:color="auto"/>
        <w:left w:val="none" w:sz="0" w:space="0" w:color="auto"/>
        <w:bottom w:val="none" w:sz="0" w:space="0" w:color="auto"/>
        <w:right w:val="none" w:sz="0" w:space="0" w:color="auto"/>
      </w:divBdr>
      <w:divsChild>
        <w:div w:id="1332488080">
          <w:marLeft w:val="0"/>
          <w:marRight w:val="0"/>
          <w:marTop w:val="0"/>
          <w:marBottom w:val="0"/>
          <w:divBdr>
            <w:top w:val="none" w:sz="0" w:space="0" w:color="auto"/>
            <w:left w:val="none" w:sz="0" w:space="0" w:color="auto"/>
            <w:bottom w:val="none" w:sz="0" w:space="0" w:color="auto"/>
            <w:right w:val="none" w:sz="0" w:space="0" w:color="auto"/>
          </w:divBdr>
          <w:divsChild>
            <w:div w:id="1430349581">
              <w:marLeft w:val="0"/>
              <w:marRight w:val="0"/>
              <w:marTop w:val="0"/>
              <w:marBottom w:val="0"/>
              <w:divBdr>
                <w:top w:val="none" w:sz="0" w:space="0" w:color="auto"/>
                <w:left w:val="none" w:sz="0" w:space="0" w:color="auto"/>
                <w:bottom w:val="none" w:sz="0" w:space="0" w:color="auto"/>
                <w:right w:val="none" w:sz="0" w:space="0" w:color="auto"/>
              </w:divBdr>
            </w:div>
            <w:div w:id="2131510170">
              <w:marLeft w:val="0"/>
              <w:marRight w:val="0"/>
              <w:marTop w:val="0"/>
              <w:marBottom w:val="0"/>
              <w:divBdr>
                <w:top w:val="none" w:sz="0" w:space="0" w:color="auto"/>
                <w:left w:val="none" w:sz="0" w:space="0" w:color="auto"/>
                <w:bottom w:val="none" w:sz="0" w:space="0" w:color="auto"/>
                <w:right w:val="none" w:sz="0" w:space="0" w:color="auto"/>
              </w:divBdr>
            </w:div>
            <w:div w:id="517355050">
              <w:marLeft w:val="0"/>
              <w:marRight w:val="0"/>
              <w:marTop w:val="0"/>
              <w:marBottom w:val="0"/>
              <w:divBdr>
                <w:top w:val="none" w:sz="0" w:space="0" w:color="auto"/>
                <w:left w:val="none" w:sz="0" w:space="0" w:color="auto"/>
                <w:bottom w:val="none" w:sz="0" w:space="0" w:color="auto"/>
                <w:right w:val="none" w:sz="0" w:space="0" w:color="auto"/>
              </w:divBdr>
            </w:div>
            <w:div w:id="373887758">
              <w:marLeft w:val="0"/>
              <w:marRight w:val="0"/>
              <w:marTop w:val="0"/>
              <w:marBottom w:val="0"/>
              <w:divBdr>
                <w:top w:val="none" w:sz="0" w:space="0" w:color="auto"/>
                <w:left w:val="none" w:sz="0" w:space="0" w:color="auto"/>
                <w:bottom w:val="none" w:sz="0" w:space="0" w:color="auto"/>
                <w:right w:val="none" w:sz="0" w:space="0" w:color="auto"/>
              </w:divBdr>
            </w:div>
            <w:div w:id="849181662">
              <w:marLeft w:val="0"/>
              <w:marRight w:val="0"/>
              <w:marTop w:val="0"/>
              <w:marBottom w:val="0"/>
              <w:divBdr>
                <w:top w:val="none" w:sz="0" w:space="0" w:color="auto"/>
                <w:left w:val="none" w:sz="0" w:space="0" w:color="auto"/>
                <w:bottom w:val="none" w:sz="0" w:space="0" w:color="auto"/>
                <w:right w:val="none" w:sz="0" w:space="0" w:color="auto"/>
              </w:divBdr>
            </w:div>
            <w:div w:id="1078789536">
              <w:marLeft w:val="0"/>
              <w:marRight w:val="0"/>
              <w:marTop w:val="0"/>
              <w:marBottom w:val="0"/>
              <w:divBdr>
                <w:top w:val="none" w:sz="0" w:space="0" w:color="auto"/>
                <w:left w:val="none" w:sz="0" w:space="0" w:color="auto"/>
                <w:bottom w:val="none" w:sz="0" w:space="0" w:color="auto"/>
                <w:right w:val="none" w:sz="0" w:space="0" w:color="auto"/>
              </w:divBdr>
            </w:div>
            <w:div w:id="1152142461">
              <w:marLeft w:val="0"/>
              <w:marRight w:val="0"/>
              <w:marTop w:val="0"/>
              <w:marBottom w:val="0"/>
              <w:divBdr>
                <w:top w:val="none" w:sz="0" w:space="0" w:color="auto"/>
                <w:left w:val="none" w:sz="0" w:space="0" w:color="auto"/>
                <w:bottom w:val="none" w:sz="0" w:space="0" w:color="auto"/>
                <w:right w:val="none" w:sz="0" w:space="0" w:color="auto"/>
              </w:divBdr>
            </w:div>
            <w:div w:id="1683119401">
              <w:marLeft w:val="0"/>
              <w:marRight w:val="0"/>
              <w:marTop w:val="0"/>
              <w:marBottom w:val="0"/>
              <w:divBdr>
                <w:top w:val="none" w:sz="0" w:space="0" w:color="auto"/>
                <w:left w:val="none" w:sz="0" w:space="0" w:color="auto"/>
                <w:bottom w:val="none" w:sz="0" w:space="0" w:color="auto"/>
                <w:right w:val="none" w:sz="0" w:space="0" w:color="auto"/>
              </w:divBdr>
            </w:div>
            <w:div w:id="1576697077">
              <w:marLeft w:val="0"/>
              <w:marRight w:val="0"/>
              <w:marTop w:val="0"/>
              <w:marBottom w:val="0"/>
              <w:divBdr>
                <w:top w:val="none" w:sz="0" w:space="0" w:color="auto"/>
                <w:left w:val="none" w:sz="0" w:space="0" w:color="auto"/>
                <w:bottom w:val="none" w:sz="0" w:space="0" w:color="auto"/>
                <w:right w:val="none" w:sz="0" w:space="0" w:color="auto"/>
              </w:divBdr>
            </w:div>
            <w:div w:id="1743327902">
              <w:marLeft w:val="0"/>
              <w:marRight w:val="0"/>
              <w:marTop w:val="0"/>
              <w:marBottom w:val="0"/>
              <w:divBdr>
                <w:top w:val="none" w:sz="0" w:space="0" w:color="auto"/>
                <w:left w:val="none" w:sz="0" w:space="0" w:color="auto"/>
                <w:bottom w:val="none" w:sz="0" w:space="0" w:color="auto"/>
                <w:right w:val="none" w:sz="0" w:space="0" w:color="auto"/>
              </w:divBdr>
            </w:div>
            <w:div w:id="1180660025">
              <w:marLeft w:val="0"/>
              <w:marRight w:val="0"/>
              <w:marTop w:val="0"/>
              <w:marBottom w:val="0"/>
              <w:divBdr>
                <w:top w:val="none" w:sz="0" w:space="0" w:color="auto"/>
                <w:left w:val="none" w:sz="0" w:space="0" w:color="auto"/>
                <w:bottom w:val="none" w:sz="0" w:space="0" w:color="auto"/>
                <w:right w:val="none" w:sz="0" w:space="0" w:color="auto"/>
              </w:divBdr>
            </w:div>
            <w:div w:id="1260026787">
              <w:marLeft w:val="0"/>
              <w:marRight w:val="0"/>
              <w:marTop w:val="0"/>
              <w:marBottom w:val="0"/>
              <w:divBdr>
                <w:top w:val="none" w:sz="0" w:space="0" w:color="auto"/>
                <w:left w:val="none" w:sz="0" w:space="0" w:color="auto"/>
                <w:bottom w:val="none" w:sz="0" w:space="0" w:color="auto"/>
                <w:right w:val="none" w:sz="0" w:space="0" w:color="auto"/>
              </w:divBdr>
            </w:div>
          </w:divsChild>
        </w:div>
        <w:div w:id="245189935">
          <w:marLeft w:val="0"/>
          <w:marRight w:val="0"/>
          <w:marTop w:val="0"/>
          <w:marBottom w:val="0"/>
          <w:divBdr>
            <w:top w:val="none" w:sz="0" w:space="0" w:color="auto"/>
            <w:left w:val="none" w:sz="0" w:space="0" w:color="auto"/>
            <w:bottom w:val="none" w:sz="0" w:space="0" w:color="auto"/>
            <w:right w:val="none" w:sz="0" w:space="0" w:color="auto"/>
          </w:divBdr>
          <w:divsChild>
            <w:div w:id="1379472226">
              <w:marLeft w:val="0"/>
              <w:marRight w:val="0"/>
              <w:marTop w:val="0"/>
              <w:marBottom w:val="0"/>
              <w:divBdr>
                <w:top w:val="none" w:sz="0" w:space="0" w:color="auto"/>
                <w:left w:val="none" w:sz="0" w:space="0" w:color="auto"/>
                <w:bottom w:val="none" w:sz="0" w:space="0" w:color="auto"/>
                <w:right w:val="none" w:sz="0" w:space="0" w:color="auto"/>
              </w:divBdr>
            </w:div>
            <w:div w:id="822895536">
              <w:marLeft w:val="0"/>
              <w:marRight w:val="0"/>
              <w:marTop w:val="0"/>
              <w:marBottom w:val="0"/>
              <w:divBdr>
                <w:top w:val="none" w:sz="0" w:space="0" w:color="auto"/>
                <w:left w:val="none" w:sz="0" w:space="0" w:color="auto"/>
                <w:bottom w:val="none" w:sz="0" w:space="0" w:color="auto"/>
                <w:right w:val="none" w:sz="0" w:space="0" w:color="auto"/>
              </w:divBdr>
            </w:div>
            <w:div w:id="1203052488">
              <w:marLeft w:val="0"/>
              <w:marRight w:val="0"/>
              <w:marTop w:val="0"/>
              <w:marBottom w:val="0"/>
              <w:divBdr>
                <w:top w:val="none" w:sz="0" w:space="0" w:color="auto"/>
                <w:left w:val="none" w:sz="0" w:space="0" w:color="auto"/>
                <w:bottom w:val="none" w:sz="0" w:space="0" w:color="auto"/>
                <w:right w:val="none" w:sz="0" w:space="0" w:color="auto"/>
              </w:divBdr>
            </w:div>
            <w:div w:id="1446198414">
              <w:marLeft w:val="0"/>
              <w:marRight w:val="0"/>
              <w:marTop w:val="0"/>
              <w:marBottom w:val="0"/>
              <w:divBdr>
                <w:top w:val="none" w:sz="0" w:space="0" w:color="auto"/>
                <w:left w:val="none" w:sz="0" w:space="0" w:color="auto"/>
                <w:bottom w:val="none" w:sz="0" w:space="0" w:color="auto"/>
                <w:right w:val="none" w:sz="0" w:space="0" w:color="auto"/>
              </w:divBdr>
            </w:div>
            <w:div w:id="633215493">
              <w:marLeft w:val="0"/>
              <w:marRight w:val="0"/>
              <w:marTop w:val="0"/>
              <w:marBottom w:val="0"/>
              <w:divBdr>
                <w:top w:val="none" w:sz="0" w:space="0" w:color="auto"/>
                <w:left w:val="none" w:sz="0" w:space="0" w:color="auto"/>
                <w:bottom w:val="none" w:sz="0" w:space="0" w:color="auto"/>
                <w:right w:val="none" w:sz="0" w:space="0" w:color="auto"/>
              </w:divBdr>
            </w:div>
            <w:div w:id="1133327526">
              <w:marLeft w:val="0"/>
              <w:marRight w:val="0"/>
              <w:marTop w:val="0"/>
              <w:marBottom w:val="0"/>
              <w:divBdr>
                <w:top w:val="none" w:sz="0" w:space="0" w:color="auto"/>
                <w:left w:val="none" w:sz="0" w:space="0" w:color="auto"/>
                <w:bottom w:val="none" w:sz="0" w:space="0" w:color="auto"/>
                <w:right w:val="none" w:sz="0" w:space="0" w:color="auto"/>
              </w:divBdr>
            </w:div>
            <w:div w:id="2049328864">
              <w:marLeft w:val="0"/>
              <w:marRight w:val="0"/>
              <w:marTop w:val="0"/>
              <w:marBottom w:val="0"/>
              <w:divBdr>
                <w:top w:val="none" w:sz="0" w:space="0" w:color="auto"/>
                <w:left w:val="none" w:sz="0" w:space="0" w:color="auto"/>
                <w:bottom w:val="none" w:sz="0" w:space="0" w:color="auto"/>
                <w:right w:val="none" w:sz="0" w:space="0" w:color="auto"/>
              </w:divBdr>
            </w:div>
            <w:div w:id="629282639">
              <w:marLeft w:val="0"/>
              <w:marRight w:val="0"/>
              <w:marTop w:val="0"/>
              <w:marBottom w:val="0"/>
              <w:divBdr>
                <w:top w:val="none" w:sz="0" w:space="0" w:color="auto"/>
                <w:left w:val="none" w:sz="0" w:space="0" w:color="auto"/>
                <w:bottom w:val="none" w:sz="0" w:space="0" w:color="auto"/>
                <w:right w:val="none" w:sz="0" w:space="0" w:color="auto"/>
              </w:divBdr>
            </w:div>
            <w:div w:id="652757983">
              <w:marLeft w:val="0"/>
              <w:marRight w:val="0"/>
              <w:marTop w:val="0"/>
              <w:marBottom w:val="0"/>
              <w:divBdr>
                <w:top w:val="none" w:sz="0" w:space="0" w:color="auto"/>
                <w:left w:val="none" w:sz="0" w:space="0" w:color="auto"/>
                <w:bottom w:val="none" w:sz="0" w:space="0" w:color="auto"/>
                <w:right w:val="none" w:sz="0" w:space="0" w:color="auto"/>
              </w:divBdr>
            </w:div>
            <w:div w:id="1446659075">
              <w:marLeft w:val="0"/>
              <w:marRight w:val="0"/>
              <w:marTop w:val="0"/>
              <w:marBottom w:val="0"/>
              <w:divBdr>
                <w:top w:val="none" w:sz="0" w:space="0" w:color="auto"/>
                <w:left w:val="none" w:sz="0" w:space="0" w:color="auto"/>
                <w:bottom w:val="none" w:sz="0" w:space="0" w:color="auto"/>
                <w:right w:val="none" w:sz="0" w:space="0" w:color="auto"/>
              </w:divBdr>
            </w:div>
            <w:div w:id="13100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13046">
      <w:bodyDiv w:val="1"/>
      <w:marLeft w:val="0"/>
      <w:marRight w:val="0"/>
      <w:marTop w:val="0"/>
      <w:marBottom w:val="0"/>
      <w:divBdr>
        <w:top w:val="none" w:sz="0" w:space="0" w:color="auto"/>
        <w:left w:val="none" w:sz="0" w:space="0" w:color="auto"/>
        <w:bottom w:val="none" w:sz="0" w:space="0" w:color="auto"/>
        <w:right w:val="none" w:sz="0" w:space="0" w:color="auto"/>
      </w:divBdr>
      <w:divsChild>
        <w:div w:id="1118572990">
          <w:marLeft w:val="0"/>
          <w:marRight w:val="0"/>
          <w:marTop w:val="0"/>
          <w:marBottom w:val="0"/>
          <w:divBdr>
            <w:top w:val="none" w:sz="0" w:space="0" w:color="auto"/>
            <w:left w:val="none" w:sz="0" w:space="0" w:color="auto"/>
            <w:bottom w:val="none" w:sz="0" w:space="0" w:color="auto"/>
            <w:right w:val="none" w:sz="0" w:space="0" w:color="auto"/>
          </w:divBdr>
        </w:div>
        <w:div w:id="649746533">
          <w:marLeft w:val="0"/>
          <w:marRight w:val="0"/>
          <w:marTop w:val="0"/>
          <w:marBottom w:val="0"/>
          <w:divBdr>
            <w:top w:val="none" w:sz="0" w:space="0" w:color="auto"/>
            <w:left w:val="none" w:sz="0" w:space="0" w:color="auto"/>
            <w:bottom w:val="none" w:sz="0" w:space="0" w:color="auto"/>
            <w:right w:val="none" w:sz="0" w:space="0" w:color="auto"/>
          </w:divBdr>
        </w:div>
      </w:divsChild>
    </w:div>
    <w:div w:id="1361511426">
      <w:bodyDiv w:val="1"/>
      <w:marLeft w:val="0"/>
      <w:marRight w:val="0"/>
      <w:marTop w:val="0"/>
      <w:marBottom w:val="0"/>
      <w:divBdr>
        <w:top w:val="none" w:sz="0" w:space="0" w:color="auto"/>
        <w:left w:val="none" w:sz="0" w:space="0" w:color="auto"/>
        <w:bottom w:val="none" w:sz="0" w:space="0" w:color="auto"/>
        <w:right w:val="none" w:sz="0" w:space="0" w:color="auto"/>
      </w:divBdr>
      <w:divsChild>
        <w:div w:id="2108306407">
          <w:marLeft w:val="0"/>
          <w:marRight w:val="0"/>
          <w:marTop w:val="0"/>
          <w:marBottom w:val="0"/>
          <w:divBdr>
            <w:top w:val="none" w:sz="0" w:space="0" w:color="auto"/>
            <w:left w:val="none" w:sz="0" w:space="0" w:color="auto"/>
            <w:bottom w:val="none" w:sz="0" w:space="0" w:color="auto"/>
            <w:right w:val="none" w:sz="0" w:space="0" w:color="auto"/>
          </w:divBdr>
        </w:div>
        <w:div w:id="1310327395">
          <w:marLeft w:val="0"/>
          <w:marRight w:val="0"/>
          <w:marTop w:val="0"/>
          <w:marBottom w:val="0"/>
          <w:divBdr>
            <w:top w:val="none" w:sz="0" w:space="0" w:color="auto"/>
            <w:left w:val="none" w:sz="0" w:space="0" w:color="auto"/>
            <w:bottom w:val="none" w:sz="0" w:space="0" w:color="auto"/>
            <w:right w:val="none" w:sz="0" w:space="0" w:color="auto"/>
          </w:divBdr>
        </w:div>
        <w:div w:id="230773798">
          <w:marLeft w:val="0"/>
          <w:marRight w:val="0"/>
          <w:marTop w:val="0"/>
          <w:marBottom w:val="0"/>
          <w:divBdr>
            <w:top w:val="none" w:sz="0" w:space="0" w:color="auto"/>
            <w:left w:val="none" w:sz="0" w:space="0" w:color="auto"/>
            <w:bottom w:val="none" w:sz="0" w:space="0" w:color="auto"/>
            <w:right w:val="none" w:sz="0" w:space="0" w:color="auto"/>
          </w:divBdr>
        </w:div>
        <w:div w:id="1449618037">
          <w:marLeft w:val="0"/>
          <w:marRight w:val="0"/>
          <w:marTop w:val="0"/>
          <w:marBottom w:val="0"/>
          <w:divBdr>
            <w:top w:val="none" w:sz="0" w:space="0" w:color="auto"/>
            <w:left w:val="none" w:sz="0" w:space="0" w:color="auto"/>
            <w:bottom w:val="none" w:sz="0" w:space="0" w:color="auto"/>
            <w:right w:val="none" w:sz="0" w:space="0" w:color="auto"/>
          </w:divBdr>
        </w:div>
        <w:div w:id="980965887">
          <w:marLeft w:val="0"/>
          <w:marRight w:val="0"/>
          <w:marTop w:val="0"/>
          <w:marBottom w:val="0"/>
          <w:divBdr>
            <w:top w:val="none" w:sz="0" w:space="0" w:color="auto"/>
            <w:left w:val="none" w:sz="0" w:space="0" w:color="auto"/>
            <w:bottom w:val="none" w:sz="0" w:space="0" w:color="auto"/>
            <w:right w:val="none" w:sz="0" w:space="0" w:color="auto"/>
          </w:divBdr>
        </w:div>
        <w:div w:id="995644724">
          <w:marLeft w:val="0"/>
          <w:marRight w:val="0"/>
          <w:marTop w:val="0"/>
          <w:marBottom w:val="0"/>
          <w:divBdr>
            <w:top w:val="none" w:sz="0" w:space="0" w:color="auto"/>
            <w:left w:val="none" w:sz="0" w:space="0" w:color="auto"/>
            <w:bottom w:val="none" w:sz="0" w:space="0" w:color="auto"/>
            <w:right w:val="none" w:sz="0" w:space="0" w:color="auto"/>
          </w:divBdr>
        </w:div>
        <w:div w:id="1319919701">
          <w:marLeft w:val="0"/>
          <w:marRight w:val="0"/>
          <w:marTop w:val="0"/>
          <w:marBottom w:val="0"/>
          <w:divBdr>
            <w:top w:val="none" w:sz="0" w:space="0" w:color="auto"/>
            <w:left w:val="none" w:sz="0" w:space="0" w:color="auto"/>
            <w:bottom w:val="none" w:sz="0" w:space="0" w:color="auto"/>
            <w:right w:val="none" w:sz="0" w:space="0" w:color="auto"/>
          </w:divBdr>
        </w:div>
      </w:divsChild>
    </w:div>
    <w:div w:id="1421488228">
      <w:bodyDiv w:val="1"/>
      <w:marLeft w:val="0"/>
      <w:marRight w:val="0"/>
      <w:marTop w:val="0"/>
      <w:marBottom w:val="0"/>
      <w:divBdr>
        <w:top w:val="none" w:sz="0" w:space="0" w:color="auto"/>
        <w:left w:val="none" w:sz="0" w:space="0" w:color="auto"/>
        <w:bottom w:val="none" w:sz="0" w:space="0" w:color="auto"/>
        <w:right w:val="none" w:sz="0" w:space="0" w:color="auto"/>
      </w:divBdr>
      <w:divsChild>
        <w:div w:id="1764304259">
          <w:marLeft w:val="0"/>
          <w:marRight w:val="0"/>
          <w:marTop w:val="0"/>
          <w:marBottom w:val="0"/>
          <w:divBdr>
            <w:top w:val="none" w:sz="0" w:space="0" w:color="auto"/>
            <w:left w:val="none" w:sz="0" w:space="0" w:color="auto"/>
            <w:bottom w:val="none" w:sz="0" w:space="0" w:color="auto"/>
            <w:right w:val="none" w:sz="0" w:space="0" w:color="auto"/>
          </w:divBdr>
        </w:div>
        <w:div w:id="427624929">
          <w:marLeft w:val="0"/>
          <w:marRight w:val="0"/>
          <w:marTop w:val="0"/>
          <w:marBottom w:val="0"/>
          <w:divBdr>
            <w:top w:val="none" w:sz="0" w:space="0" w:color="auto"/>
            <w:left w:val="none" w:sz="0" w:space="0" w:color="auto"/>
            <w:bottom w:val="none" w:sz="0" w:space="0" w:color="auto"/>
            <w:right w:val="none" w:sz="0" w:space="0" w:color="auto"/>
          </w:divBdr>
        </w:div>
        <w:div w:id="96171472">
          <w:marLeft w:val="0"/>
          <w:marRight w:val="0"/>
          <w:marTop w:val="0"/>
          <w:marBottom w:val="0"/>
          <w:divBdr>
            <w:top w:val="none" w:sz="0" w:space="0" w:color="auto"/>
            <w:left w:val="none" w:sz="0" w:space="0" w:color="auto"/>
            <w:bottom w:val="none" w:sz="0" w:space="0" w:color="auto"/>
            <w:right w:val="none" w:sz="0" w:space="0" w:color="auto"/>
          </w:divBdr>
        </w:div>
      </w:divsChild>
    </w:div>
    <w:div w:id="1455246416">
      <w:bodyDiv w:val="1"/>
      <w:marLeft w:val="0"/>
      <w:marRight w:val="0"/>
      <w:marTop w:val="0"/>
      <w:marBottom w:val="0"/>
      <w:divBdr>
        <w:top w:val="none" w:sz="0" w:space="0" w:color="auto"/>
        <w:left w:val="none" w:sz="0" w:space="0" w:color="auto"/>
        <w:bottom w:val="none" w:sz="0" w:space="0" w:color="auto"/>
        <w:right w:val="none" w:sz="0" w:space="0" w:color="auto"/>
      </w:divBdr>
      <w:divsChild>
        <w:div w:id="1981571253">
          <w:marLeft w:val="0"/>
          <w:marRight w:val="0"/>
          <w:marTop w:val="0"/>
          <w:marBottom w:val="0"/>
          <w:divBdr>
            <w:top w:val="none" w:sz="0" w:space="0" w:color="auto"/>
            <w:left w:val="none" w:sz="0" w:space="0" w:color="auto"/>
            <w:bottom w:val="none" w:sz="0" w:space="0" w:color="auto"/>
            <w:right w:val="none" w:sz="0" w:space="0" w:color="auto"/>
          </w:divBdr>
        </w:div>
        <w:div w:id="442461501">
          <w:marLeft w:val="0"/>
          <w:marRight w:val="0"/>
          <w:marTop w:val="0"/>
          <w:marBottom w:val="0"/>
          <w:divBdr>
            <w:top w:val="none" w:sz="0" w:space="0" w:color="auto"/>
            <w:left w:val="none" w:sz="0" w:space="0" w:color="auto"/>
            <w:bottom w:val="none" w:sz="0" w:space="0" w:color="auto"/>
            <w:right w:val="none" w:sz="0" w:space="0" w:color="auto"/>
          </w:divBdr>
        </w:div>
        <w:div w:id="1539928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hee.nhs.uk/our-work/qualit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barrett\OneDrive%20-%20NHS\Programmes\Quality\New%20branded%20docs\2024_Education%20Quality_Removal%20of%20learners%20guidan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41D81847984539BC408A33B4788CB8"/>
        <w:category>
          <w:name w:val="General"/>
          <w:gallery w:val="placeholder"/>
        </w:category>
        <w:types>
          <w:type w:val="bbPlcHdr"/>
        </w:types>
        <w:behaviors>
          <w:behavior w:val="content"/>
        </w:behaviors>
        <w:guid w:val="{7756437B-1538-41B4-B27F-4A278A30CE2D}"/>
      </w:docPartPr>
      <w:docPartBody>
        <w:p w:rsidR="00CC2D81" w:rsidRDefault="00CC2D81">
          <w:pPr>
            <w:pStyle w:val="3A41D81847984539BC408A33B4788CB8"/>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D81"/>
    <w:rsid w:val="001F6355"/>
    <w:rsid w:val="00CC2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41D81847984539BC408A33B4788CB8">
    <w:name w:val="3A41D81847984539BC408A33B4788C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06dea03-101e-4105-9de0-02de10ea63d4">
      <Terms xmlns="http://schemas.microsoft.com/office/infopath/2007/PartnerControls"/>
    </lcf76f155ced4ddcb4097134ff3c332f>
    <TaxCatchAll xmlns="9a850200-69e9-4cbf-856a-af89fd78bbd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8F346EDEEB2934B9E633668742E1E99" ma:contentTypeVersion="19" ma:contentTypeDescription="Create a new document." ma:contentTypeScope="" ma:versionID="c167cd761f5adc7296ab689ca221f3d3">
  <xsd:schema xmlns:xsd="http://www.w3.org/2001/XMLSchema" xmlns:xs="http://www.w3.org/2001/XMLSchema" xmlns:p="http://schemas.microsoft.com/office/2006/metadata/properties" xmlns:ns1="http://schemas.microsoft.com/sharepoint/v3" xmlns:ns2="106dea03-101e-4105-9de0-02de10ea63d4" xmlns:ns3="9a850200-69e9-4cbf-856a-af89fd78bbdb" targetNamespace="http://schemas.microsoft.com/office/2006/metadata/properties" ma:root="true" ma:fieldsID="fc2e2e408dd2afeda08671d9f1d08f78" ns1:_="" ns2:_="" ns3:_="">
    <xsd:import namespace="http://schemas.microsoft.com/sharepoint/v3"/>
    <xsd:import namespace="106dea03-101e-4105-9de0-02de10ea63d4"/>
    <xsd:import namespace="9a850200-69e9-4cbf-856a-af89fd78bb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dea03-101e-4105-9de0-02de10ea6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850200-69e9-4cbf-856a-af89fd78bbd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cd10f-be2f-47b4-b1f5-a57e22295ade}" ma:internalName="TaxCatchAll" ma:showField="CatchAllData" ma:web="9a850200-69e9-4cbf-856a-af89fd78bbd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2.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3.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http://schemas.microsoft.com/sharepoint/v3"/>
    <ds:schemaRef ds:uri="106dea03-101e-4105-9de0-02de10ea63d4"/>
    <ds:schemaRef ds:uri="9a850200-69e9-4cbf-856a-af89fd78bbdb"/>
  </ds:schemaRefs>
</ds:datastoreItem>
</file>

<file path=customXml/itemProps4.xml><?xml version="1.0" encoding="utf-8"?>
<ds:datastoreItem xmlns:ds="http://schemas.openxmlformats.org/officeDocument/2006/customXml" ds:itemID="{197C7F97-998D-4DEA-A993-B7C3F1EC2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6dea03-101e-4105-9de0-02de10ea63d4"/>
    <ds:schemaRef ds:uri="9a850200-69e9-4cbf-856a-af89fd78b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2024_Education Quality_Removal of learners guidance</Template>
  <TotalTime>3</TotalTime>
  <Pages>9</Pages>
  <Words>1976</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Title (heading 1)</vt:lpstr>
    </vt:vector>
  </TitlesOfParts>
  <Company>Health &amp; Social Care Information Centre</Company>
  <LinksUpToDate>false</LinksUpToDate>
  <CharactersWithSpaces>13214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Removal of learners from clinical placements in relation to serious concerns</dc:title>
  <dc:subject/>
  <dc:creator>Helen Barrett</dc:creator>
  <cp:keywords/>
  <cp:lastModifiedBy>BARRETT, Helen (NHS ENGLAND - T1510)</cp:lastModifiedBy>
  <cp:revision>1</cp:revision>
  <cp:lastPrinted>2016-07-14T17:27:00Z</cp:lastPrinted>
  <dcterms:created xsi:type="dcterms:W3CDTF">2024-08-08T10:57:00Z</dcterms:created>
  <dcterms:modified xsi:type="dcterms:W3CDTF">2024-08-08T11:00:00Z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0x010100D2BBAB1FD171254091357518D78D9B40</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