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7F25" w14:textId="29A6E308" w:rsidR="008957AF" w:rsidRDefault="008957AF" w:rsidP="71191A64">
      <w:pPr>
        <w:jc w:val="right"/>
        <w:rPr>
          <w:rFonts w:cs="Arial"/>
        </w:rPr>
      </w:pPr>
    </w:p>
    <w:p w14:paraId="02607477" w14:textId="4960A271" w:rsidR="00E628A6" w:rsidRDefault="00E628A6" w:rsidP="71191A64">
      <w:pPr>
        <w:jc w:val="right"/>
        <w:rPr>
          <w:rFonts w:cs="Arial"/>
        </w:rPr>
      </w:pPr>
    </w:p>
    <w:p w14:paraId="1B449F26" w14:textId="77777777" w:rsidR="00E628A6" w:rsidRPr="008F0107" w:rsidRDefault="00E628A6" w:rsidP="71191A64">
      <w:pPr>
        <w:jc w:val="right"/>
        <w:rPr>
          <w:rFonts w:cs="Arial"/>
        </w:rPr>
      </w:pPr>
    </w:p>
    <w:tbl>
      <w:tblPr>
        <w:tblStyle w:val="TableGrid1"/>
        <w:tblW w:w="10343" w:type="dxa"/>
        <w:tblLayout w:type="fixed"/>
        <w:tblLook w:val="04A0" w:firstRow="1" w:lastRow="0" w:firstColumn="1" w:lastColumn="0" w:noHBand="0" w:noVBand="1"/>
      </w:tblPr>
      <w:tblGrid>
        <w:gridCol w:w="2689"/>
        <w:gridCol w:w="7654"/>
      </w:tblGrid>
      <w:tr w:rsidR="008957AF" w:rsidRPr="008F0107" w14:paraId="2CA81022" w14:textId="77777777" w:rsidTr="00593025">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1D438FBF" w14:textId="77777777" w:rsidR="008957AF" w:rsidRPr="008F0107" w:rsidRDefault="008957AF" w:rsidP="71191A64">
            <w:pPr>
              <w:autoSpaceDE w:val="0"/>
              <w:autoSpaceDN w:val="0"/>
              <w:adjustRightInd w:val="0"/>
              <w:rPr>
                <w:rFonts w:cs="Arial"/>
                <w:b/>
                <w:bCs/>
                <w:color w:val="000000"/>
              </w:rPr>
            </w:pPr>
            <w:r w:rsidRPr="71191A64">
              <w:rPr>
                <w:rFonts w:cs="Arial"/>
                <w:b/>
                <w:bCs/>
                <w:color w:val="000000" w:themeColor="text1"/>
              </w:rPr>
              <w:t>Name of Document</w:t>
            </w:r>
          </w:p>
          <w:p w14:paraId="5EAE941E" w14:textId="48451501" w:rsidR="00EB0903" w:rsidRPr="008F0107" w:rsidRDefault="00EB0903" w:rsidP="71191A64">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hideMark/>
          </w:tcPr>
          <w:p w14:paraId="63851E8C" w14:textId="10D26B1E" w:rsidR="008957AF" w:rsidRDefault="003C3C81" w:rsidP="71191A64">
            <w:pPr>
              <w:autoSpaceDE w:val="0"/>
              <w:autoSpaceDN w:val="0"/>
              <w:adjustRightInd w:val="0"/>
              <w:rPr>
                <w:rFonts w:cs="Arial"/>
                <w:b/>
                <w:bCs/>
                <w:color w:val="000000"/>
              </w:rPr>
            </w:pPr>
            <w:r w:rsidRPr="670D1FE6">
              <w:rPr>
                <w:rFonts w:cs="Arial"/>
                <w:b/>
                <w:bCs/>
                <w:color w:val="000000" w:themeColor="text1"/>
              </w:rPr>
              <w:t>Period of Grace</w:t>
            </w:r>
          </w:p>
          <w:p w14:paraId="6A752F64" w14:textId="4C4B473F" w:rsidR="007804E7" w:rsidRPr="008F0107" w:rsidRDefault="007804E7" w:rsidP="71191A64">
            <w:pPr>
              <w:autoSpaceDE w:val="0"/>
              <w:autoSpaceDN w:val="0"/>
              <w:adjustRightInd w:val="0"/>
              <w:rPr>
                <w:b/>
                <w:bCs/>
              </w:rPr>
            </w:pPr>
          </w:p>
        </w:tc>
      </w:tr>
      <w:tr w:rsidR="008957AF" w:rsidRPr="008F0107" w14:paraId="49124AE1" w14:textId="77777777" w:rsidTr="00593025">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5282D12D" w14:textId="77777777" w:rsidR="008957AF" w:rsidRPr="008F0107" w:rsidRDefault="008957AF" w:rsidP="71191A64">
            <w:pPr>
              <w:autoSpaceDE w:val="0"/>
              <w:autoSpaceDN w:val="0"/>
              <w:adjustRightInd w:val="0"/>
              <w:rPr>
                <w:rFonts w:cs="Arial"/>
                <w:b/>
                <w:bCs/>
                <w:color w:val="000000"/>
              </w:rPr>
            </w:pPr>
            <w:r w:rsidRPr="71191A64">
              <w:rPr>
                <w:rFonts w:cs="Arial"/>
                <w:b/>
                <w:bCs/>
                <w:color w:val="000000" w:themeColor="text1"/>
              </w:rPr>
              <w:t>Category</w:t>
            </w:r>
          </w:p>
          <w:p w14:paraId="467FA50B" w14:textId="0BD70260" w:rsidR="00EB0903" w:rsidRPr="008F0107" w:rsidRDefault="00EB0903" w:rsidP="71191A64">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hideMark/>
          </w:tcPr>
          <w:p w14:paraId="4D9EDCA2" w14:textId="5AC5F59D" w:rsidR="008957AF" w:rsidRPr="00AF0D2A" w:rsidRDefault="008957AF" w:rsidP="71191A64">
            <w:pPr>
              <w:autoSpaceDE w:val="0"/>
              <w:autoSpaceDN w:val="0"/>
              <w:adjustRightInd w:val="0"/>
              <w:rPr>
                <w:rFonts w:cs="Arial"/>
              </w:rPr>
            </w:pPr>
            <w:r w:rsidRPr="1F4DC4CB">
              <w:rPr>
                <w:rFonts w:cs="Arial"/>
                <w:color w:val="000000" w:themeColor="text1"/>
              </w:rPr>
              <w:t xml:space="preserve">Standard Operating </w:t>
            </w:r>
            <w:r w:rsidRPr="00AF0D2A">
              <w:rPr>
                <w:rFonts w:cs="Arial"/>
              </w:rPr>
              <w:t>Procedure (SOP)</w:t>
            </w:r>
          </w:p>
          <w:p w14:paraId="29EB75C8" w14:textId="6F80C690" w:rsidR="007804E7" w:rsidRPr="008F0107" w:rsidRDefault="1F4DC4CB" w:rsidP="1F4DC4CB">
            <w:pPr>
              <w:autoSpaceDE w:val="0"/>
              <w:autoSpaceDN w:val="0"/>
              <w:adjustRightInd w:val="0"/>
              <w:spacing w:line="259" w:lineRule="auto"/>
              <w:ind w:left="1" w:right="56" w:hanging="10"/>
              <w:rPr>
                <w:rFonts w:eastAsia="Arial" w:cs="Arial"/>
              </w:rPr>
            </w:pPr>
            <w:r w:rsidRPr="00AF0D2A">
              <w:rPr>
                <w:rFonts w:eastAsia="Arial" w:cs="Arial"/>
                <w:b/>
                <w:bCs/>
              </w:rPr>
              <w:t>This SOP is only applicable to relevant programmes within Specialty Training.</w:t>
            </w:r>
          </w:p>
        </w:tc>
      </w:tr>
      <w:tr w:rsidR="008957AF" w:rsidRPr="008F0107" w14:paraId="77D27EE1" w14:textId="77777777" w:rsidTr="00593025">
        <w:tc>
          <w:tcPr>
            <w:tcW w:w="2689" w:type="dxa"/>
            <w:tcBorders>
              <w:top w:val="single" w:sz="4" w:space="0" w:color="auto"/>
              <w:left w:val="single" w:sz="4" w:space="0" w:color="auto"/>
              <w:bottom w:val="single" w:sz="4" w:space="0" w:color="auto"/>
              <w:right w:val="single" w:sz="4" w:space="0" w:color="auto"/>
            </w:tcBorders>
            <w:shd w:val="clear" w:color="auto" w:fill="8DB3E2"/>
          </w:tcPr>
          <w:p w14:paraId="5DCF6FAE" w14:textId="77777777" w:rsidR="008957AF" w:rsidRPr="008F0107" w:rsidRDefault="008957AF" w:rsidP="71191A64">
            <w:pPr>
              <w:autoSpaceDE w:val="0"/>
              <w:autoSpaceDN w:val="0"/>
              <w:adjustRightInd w:val="0"/>
              <w:rPr>
                <w:rFonts w:cs="Arial"/>
                <w:b/>
                <w:bCs/>
                <w:color w:val="000000"/>
              </w:rPr>
            </w:pPr>
            <w:r w:rsidRPr="71191A64">
              <w:rPr>
                <w:rFonts w:cs="Arial"/>
                <w:b/>
                <w:bCs/>
                <w:color w:val="000000" w:themeColor="text1"/>
              </w:rPr>
              <w:t>Purpose</w:t>
            </w:r>
          </w:p>
        </w:tc>
        <w:tc>
          <w:tcPr>
            <w:tcW w:w="7654" w:type="dxa"/>
            <w:tcBorders>
              <w:top w:val="single" w:sz="4" w:space="0" w:color="auto"/>
              <w:left w:val="single" w:sz="4" w:space="0" w:color="auto"/>
              <w:bottom w:val="single" w:sz="4" w:space="0" w:color="auto"/>
              <w:right w:val="single" w:sz="4" w:space="0" w:color="auto"/>
            </w:tcBorders>
          </w:tcPr>
          <w:p w14:paraId="40F44271" w14:textId="27259E3A" w:rsidR="00936169" w:rsidRPr="00AF0D2A" w:rsidRDefault="1B91B339" w:rsidP="6DA9BE27">
            <w:pPr>
              <w:spacing w:after="10" w:line="271" w:lineRule="auto"/>
              <w:ind w:right="58"/>
              <w:rPr>
                <w:rFonts w:eastAsia="Arial" w:cs="Arial"/>
              </w:rPr>
            </w:pPr>
            <w:r w:rsidRPr="6DA9BE27">
              <w:rPr>
                <w:rFonts w:eastAsia="Arial" w:cs="Arial"/>
                <w:color w:val="000000" w:themeColor="text1"/>
              </w:rPr>
              <w:t xml:space="preserve">This document is one of a suite of Standard Operating Procedures to support the management of trainees across England. This SOP is aligned to the principles of ‘A Reference Guide for Postgraduate </w:t>
            </w:r>
            <w:r w:rsidRPr="00AF0D2A">
              <w:rPr>
                <w:rFonts w:eastAsia="Arial" w:cs="Arial"/>
              </w:rPr>
              <w:t>Foundation and Specialty Training in the UK’ (The Gold Guide) and ‘A Reference Guide for Postgraduate Dental Core and Specialty Training’ (The Dental Gold Guide).  Please refer to the most recent versions.</w:t>
            </w:r>
          </w:p>
          <w:p w14:paraId="582415A2" w14:textId="529687D6" w:rsidR="00936169" w:rsidRPr="00936169" w:rsidRDefault="00936169" w:rsidP="6DA9BE27">
            <w:pPr>
              <w:spacing w:after="10" w:line="271" w:lineRule="auto"/>
              <w:ind w:right="56" w:hanging="370"/>
              <w:rPr>
                <w:rFonts w:eastAsia="Arial" w:cs="Arial"/>
                <w:color w:val="000000" w:themeColor="text1"/>
              </w:rPr>
            </w:pPr>
          </w:p>
          <w:p w14:paraId="507482C5" w14:textId="2BFFDD69" w:rsidR="00936169" w:rsidRPr="00936169" w:rsidRDefault="00DC6D1B" w:rsidP="00593467">
            <w:pPr>
              <w:spacing w:after="10" w:line="271" w:lineRule="auto"/>
              <w:ind w:right="56"/>
              <w:rPr>
                <w:rFonts w:eastAsia="Arial" w:cs="Arial"/>
                <w:color w:val="000000" w:themeColor="text1"/>
              </w:rPr>
            </w:pPr>
            <w:r>
              <w:rPr>
                <w:rFonts w:eastAsia="Arial" w:cs="Arial"/>
                <w:color w:val="000000" w:themeColor="text1"/>
              </w:rPr>
              <w:t xml:space="preserve">Since </w:t>
            </w:r>
            <w:r w:rsidR="1B91B339" w:rsidRPr="6DA9BE27">
              <w:rPr>
                <w:rFonts w:eastAsia="Arial" w:cs="Arial"/>
                <w:color w:val="000000" w:themeColor="text1"/>
              </w:rPr>
              <w:t xml:space="preserve">2020, Foundation Training is embedded within the Gold Guide. Therefore, the </w:t>
            </w:r>
            <w:r>
              <w:rPr>
                <w:rFonts w:eastAsia="Arial" w:cs="Arial"/>
                <w:color w:val="000000" w:themeColor="text1"/>
              </w:rPr>
              <w:t>NHS England</w:t>
            </w:r>
            <w:r w:rsidR="1B91B339" w:rsidRPr="6DA9BE27">
              <w:rPr>
                <w:rFonts w:eastAsia="Arial" w:cs="Arial"/>
                <w:color w:val="000000" w:themeColor="text1"/>
              </w:rPr>
              <w:t xml:space="preserve"> suite of SOPs applies to all doctors in training, including Foundation, unless specified otherwise. Please note that Foundation-specific differences are highlighted in purple font in the Gold Guide.</w:t>
            </w:r>
          </w:p>
          <w:p w14:paraId="752D23B9" w14:textId="148FC544" w:rsidR="00936169" w:rsidRPr="00936169" w:rsidRDefault="00936169" w:rsidP="6DA9BE27">
            <w:pPr>
              <w:ind w:right="56" w:hanging="370"/>
              <w:rPr>
                <w:rFonts w:eastAsia="Arial" w:cs="Arial"/>
                <w:color w:val="000000" w:themeColor="text1"/>
                <w:sz w:val="20"/>
                <w:szCs w:val="20"/>
              </w:rPr>
            </w:pPr>
          </w:p>
          <w:p w14:paraId="0DF10428" w14:textId="24C6FBBB" w:rsidR="00936169" w:rsidRDefault="007B4E83" w:rsidP="00593467">
            <w:pPr>
              <w:ind w:left="1" w:right="56" w:hanging="1"/>
              <w:rPr>
                <w:rFonts w:eastAsia="Arial" w:cs="Arial"/>
                <w:color w:val="000000" w:themeColor="text1"/>
              </w:rPr>
            </w:pPr>
            <w:r w:rsidRPr="007B4E83">
              <w:rPr>
                <w:rFonts w:eastAsia="Arial" w:cs="Arial"/>
              </w:rPr>
              <w:t>Within the SOP, whenever reference is made to the Postgraduate Dean, it refers to the NHS England English Dean/Postgraduate Dean or their nominated representative who will be responsible for managing the process on their behalf</w:t>
            </w:r>
            <w:r w:rsidR="1B91B339" w:rsidRPr="6DA9BE27">
              <w:rPr>
                <w:rFonts w:eastAsia="Arial" w:cs="Arial"/>
                <w:color w:val="000000" w:themeColor="text1"/>
              </w:rPr>
              <w:t xml:space="preserve">.  </w:t>
            </w:r>
          </w:p>
          <w:p w14:paraId="03C45F47" w14:textId="77777777" w:rsidR="00523CC4" w:rsidRDefault="00523CC4" w:rsidP="00593467">
            <w:pPr>
              <w:ind w:left="1" w:right="56" w:hanging="1"/>
              <w:rPr>
                <w:rFonts w:eastAsia="Arial" w:cs="Arial"/>
                <w:color w:val="000000" w:themeColor="text1"/>
              </w:rPr>
            </w:pPr>
          </w:p>
          <w:p w14:paraId="35C1DE15" w14:textId="32BF6B7D" w:rsidR="00523CC4" w:rsidRPr="00523CC4" w:rsidRDefault="00523CC4" w:rsidP="00593467">
            <w:pPr>
              <w:ind w:left="1" w:right="56" w:hanging="1"/>
              <w:rPr>
                <w:rFonts w:eastAsia="Arial" w:cs="Arial"/>
                <w:color w:val="000000" w:themeColor="text1"/>
              </w:rPr>
            </w:pPr>
            <w:r w:rsidRPr="00523CC4">
              <w:rPr>
                <w:rFonts w:cs="Arial"/>
              </w:rPr>
              <w:t>Throughout the document, unless otherwise stated, the term ‘trainee’ refers to postgraduate doctors in training and also applies to public health trainees with a medical or non-medical qualification.</w:t>
            </w:r>
          </w:p>
          <w:p w14:paraId="1611A67E" w14:textId="2E8EAEA6" w:rsidR="00936169" w:rsidRPr="00936169" w:rsidRDefault="1B91B339" w:rsidP="6DA9BE27">
            <w:pPr>
              <w:ind w:left="1" w:right="56" w:hanging="370"/>
              <w:rPr>
                <w:rFonts w:eastAsia="Arial" w:cs="Arial"/>
                <w:color w:val="000000" w:themeColor="text1"/>
              </w:rPr>
            </w:pPr>
            <w:r w:rsidRPr="6DA9BE27">
              <w:rPr>
                <w:rFonts w:eastAsia="Arial" w:cs="Arial"/>
                <w:color w:val="000000" w:themeColor="text1"/>
              </w:rPr>
              <w:t xml:space="preserve"> </w:t>
            </w:r>
          </w:p>
          <w:p w14:paraId="7B8FD4D5" w14:textId="11DDD94B" w:rsidR="00936169" w:rsidRPr="00936169" w:rsidRDefault="1B91B339" w:rsidP="00593467">
            <w:pPr>
              <w:ind w:left="1" w:right="88" w:hanging="1"/>
              <w:rPr>
                <w:rFonts w:eastAsia="Arial" w:cs="Arial"/>
                <w:color w:val="000000" w:themeColor="text1"/>
              </w:rPr>
            </w:pPr>
            <w:r w:rsidRPr="6DA9BE27">
              <w:rPr>
                <w:rFonts w:eastAsia="Arial" w:cs="Arial"/>
                <w:color w:val="000000" w:themeColor="text1"/>
              </w:rPr>
              <w:t xml:space="preserve">This SOP is intended to be a guide to encourage consistency of practice across England. Due to the complex nature of training, there will be occasions where Postgraduate Deans will apply their discretion in enacting this SOP to take account of individual circumstances and varying local structures (e.g. Lead Employer). </w:t>
            </w:r>
          </w:p>
          <w:p w14:paraId="6BEBA91F" w14:textId="67965BB4" w:rsidR="00936169" w:rsidRPr="00AF0D2A" w:rsidRDefault="1B91B339" w:rsidP="6DA9BE27">
            <w:pPr>
              <w:ind w:left="1" w:right="56" w:hanging="370"/>
              <w:rPr>
                <w:rFonts w:eastAsia="Arial" w:cs="Arial"/>
              </w:rPr>
            </w:pPr>
            <w:r w:rsidRPr="6DA9BE27">
              <w:rPr>
                <w:rFonts w:eastAsia="Arial" w:cs="Arial"/>
                <w:color w:val="000000" w:themeColor="text1"/>
              </w:rPr>
              <w:t xml:space="preserve"> </w:t>
            </w:r>
          </w:p>
          <w:p w14:paraId="7AAAA27C" w14:textId="319539D7" w:rsidR="00936169" w:rsidRPr="00AF0D2A" w:rsidRDefault="00DC6D1B" w:rsidP="6DA9BE27">
            <w:pPr>
              <w:ind w:left="1" w:right="56" w:hanging="10"/>
              <w:rPr>
                <w:rFonts w:eastAsia="Arial" w:cs="Arial"/>
              </w:rPr>
            </w:pPr>
            <w:r>
              <w:rPr>
                <w:rFonts w:eastAsia="Arial" w:cs="Arial"/>
              </w:rPr>
              <w:t>English Deans</w:t>
            </w:r>
            <w:r w:rsidR="1B91B339" w:rsidRPr="00AF0D2A">
              <w:rPr>
                <w:rFonts w:eastAsia="Arial" w:cs="Arial"/>
              </w:rPr>
              <w:t xml:space="preserve">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w:t>
            </w:r>
            <w:r>
              <w:rPr>
                <w:rFonts w:eastAsia="Arial" w:cs="Arial"/>
              </w:rPr>
              <w:t xml:space="preserve">English Deans </w:t>
            </w:r>
            <w:r w:rsidR="1B91B339" w:rsidRPr="00AF0D2A">
              <w:rPr>
                <w:rFonts w:eastAsia="Arial" w:cs="Arial"/>
              </w:rPr>
              <w:t>aim to meet and exceed their statutory obligations under the Equality Act 2010 by adopting a continuous improvement approach.</w:t>
            </w:r>
          </w:p>
          <w:p w14:paraId="4CF2E4FF" w14:textId="5AE76CB2" w:rsidR="00936169" w:rsidRPr="00AF0D2A" w:rsidRDefault="00936169" w:rsidP="6DA9BE27">
            <w:pPr>
              <w:ind w:left="1" w:right="56" w:hanging="10"/>
              <w:rPr>
                <w:rFonts w:eastAsia="Arial" w:cs="Arial"/>
              </w:rPr>
            </w:pPr>
          </w:p>
          <w:p w14:paraId="62595A4F" w14:textId="2CB1807E" w:rsidR="00936169" w:rsidRPr="00936169" w:rsidRDefault="1B91B339" w:rsidP="6DA9BE27">
            <w:pPr>
              <w:ind w:left="1" w:right="56" w:hanging="10"/>
              <w:rPr>
                <w:rFonts w:eastAsia="Arial" w:cs="Arial"/>
                <w:color w:val="000000" w:themeColor="text1"/>
              </w:rPr>
            </w:pPr>
            <w:r w:rsidRPr="00AF0D2A">
              <w:rPr>
                <w:rFonts w:eastAsia="Arial" w:cs="Arial"/>
              </w:rPr>
              <w:t xml:space="preserve">This suite of SOPs will be routinely screened against relevant Equality and Diversity </w:t>
            </w:r>
            <w:r w:rsidRPr="6DA9BE27">
              <w:rPr>
                <w:rFonts w:eastAsia="Arial" w:cs="Arial"/>
                <w:color w:val="000000" w:themeColor="text1"/>
              </w:rPr>
              <w:t>documentation.</w:t>
            </w:r>
          </w:p>
          <w:p w14:paraId="2F87624A" w14:textId="77777777" w:rsidR="008957AF" w:rsidRPr="008F0107" w:rsidRDefault="008957AF" w:rsidP="71191A64">
            <w:pPr>
              <w:rPr>
                <w:rFonts w:cs="Arial"/>
              </w:rPr>
            </w:pPr>
          </w:p>
        </w:tc>
      </w:tr>
      <w:tr w:rsidR="008957AF" w:rsidRPr="008F0107" w14:paraId="230BF92E" w14:textId="77777777" w:rsidTr="00593025">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24892256" w14:textId="77777777" w:rsidR="008957AF" w:rsidRPr="008F0107" w:rsidRDefault="008957AF" w:rsidP="71191A64">
            <w:pPr>
              <w:autoSpaceDE w:val="0"/>
              <w:autoSpaceDN w:val="0"/>
              <w:adjustRightInd w:val="0"/>
              <w:rPr>
                <w:rFonts w:cs="Arial"/>
                <w:b/>
                <w:bCs/>
                <w:color w:val="000000"/>
              </w:rPr>
            </w:pPr>
            <w:r w:rsidRPr="71191A64">
              <w:rPr>
                <w:rFonts w:cs="Arial"/>
                <w:b/>
                <w:bCs/>
                <w:color w:val="000000" w:themeColor="text1"/>
              </w:rPr>
              <w:t>Authorised by</w:t>
            </w:r>
          </w:p>
          <w:p w14:paraId="615A8150" w14:textId="7F9F7CF1" w:rsidR="00EB0903" w:rsidRPr="008F0107" w:rsidRDefault="00EB0903" w:rsidP="71191A64">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hideMark/>
          </w:tcPr>
          <w:p w14:paraId="4D4AD4CC" w14:textId="470C4231" w:rsidR="008957AF" w:rsidRDefault="008957AF" w:rsidP="71191A64">
            <w:pPr>
              <w:autoSpaceDE w:val="0"/>
              <w:autoSpaceDN w:val="0"/>
              <w:adjustRightInd w:val="0"/>
              <w:rPr>
                <w:rFonts w:cs="Arial"/>
                <w:color w:val="000000"/>
              </w:rPr>
            </w:pPr>
            <w:r w:rsidRPr="71191A64">
              <w:rPr>
                <w:rFonts w:cs="Arial"/>
                <w:color w:val="000000" w:themeColor="text1"/>
              </w:rPr>
              <w:t>Health Education England Deans (HEED</w:t>
            </w:r>
            <w:r w:rsidR="000E3A22">
              <w:rPr>
                <w:rFonts w:cs="Arial"/>
                <w:color w:val="000000" w:themeColor="text1"/>
              </w:rPr>
              <w:t>s</w:t>
            </w:r>
            <w:r w:rsidRPr="71191A64">
              <w:rPr>
                <w:rFonts w:cs="Arial"/>
                <w:color w:val="000000" w:themeColor="text1"/>
              </w:rPr>
              <w:t>)</w:t>
            </w:r>
            <w:r w:rsidR="000E3A22">
              <w:rPr>
                <w:rFonts w:cs="Arial"/>
                <w:color w:val="000000" w:themeColor="text1"/>
              </w:rPr>
              <w:t>, now English Deans</w:t>
            </w:r>
          </w:p>
          <w:p w14:paraId="681FB267" w14:textId="01C7CAA2" w:rsidR="00DA5816" w:rsidRPr="008F0107" w:rsidRDefault="00DA5816" w:rsidP="71191A64">
            <w:pPr>
              <w:autoSpaceDE w:val="0"/>
              <w:autoSpaceDN w:val="0"/>
              <w:adjustRightInd w:val="0"/>
              <w:rPr>
                <w:color w:val="000000"/>
              </w:rPr>
            </w:pPr>
          </w:p>
        </w:tc>
      </w:tr>
      <w:tr w:rsidR="008957AF" w:rsidRPr="008F0107" w14:paraId="77674BE8" w14:textId="77777777" w:rsidTr="00593025">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101DDF3D" w14:textId="77777777" w:rsidR="008957AF" w:rsidRPr="008F0107" w:rsidRDefault="008957AF" w:rsidP="71191A64">
            <w:pPr>
              <w:autoSpaceDE w:val="0"/>
              <w:autoSpaceDN w:val="0"/>
              <w:adjustRightInd w:val="0"/>
              <w:rPr>
                <w:rFonts w:cs="Arial"/>
                <w:b/>
                <w:bCs/>
                <w:color w:val="000000"/>
              </w:rPr>
            </w:pPr>
            <w:r w:rsidRPr="71191A64">
              <w:rPr>
                <w:rFonts w:cs="Arial"/>
                <w:b/>
                <w:bCs/>
                <w:color w:val="000000" w:themeColor="text1"/>
              </w:rPr>
              <w:t>Date Authorised</w:t>
            </w:r>
          </w:p>
          <w:p w14:paraId="1D63126F" w14:textId="3BF70F97" w:rsidR="00EB0903" w:rsidRPr="008F0107" w:rsidRDefault="00EB0903" w:rsidP="71191A64">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tcPr>
          <w:p w14:paraId="0B76A8C5" w14:textId="422845B8" w:rsidR="008957AF" w:rsidRDefault="002B78D4" w:rsidP="71191A64">
            <w:pPr>
              <w:autoSpaceDE w:val="0"/>
              <w:autoSpaceDN w:val="0"/>
              <w:adjustRightInd w:val="0"/>
              <w:rPr>
                <w:rFonts w:cs="Arial"/>
                <w:color w:val="000000"/>
              </w:rPr>
            </w:pPr>
            <w:r w:rsidRPr="71191A64">
              <w:rPr>
                <w:rFonts w:cs="Arial"/>
                <w:color w:val="000000" w:themeColor="text1"/>
              </w:rPr>
              <w:t>17/09/2019</w:t>
            </w:r>
          </w:p>
          <w:p w14:paraId="7CC6F30E" w14:textId="0770BFB1" w:rsidR="00DA5816" w:rsidRPr="008F0107" w:rsidRDefault="00DA5816" w:rsidP="71191A64">
            <w:pPr>
              <w:autoSpaceDE w:val="0"/>
              <w:autoSpaceDN w:val="0"/>
              <w:adjustRightInd w:val="0"/>
              <w:rPr>
                <w:rFonts w:cs="Arial"/>
                <w:color w:val="000000"/>
              </w:rPr>
            </w:pPr>
          </w:p>
        </w:tc>
      </w:tr>
      <w:tr w:rsidR="00593467" w:rsidRPr="008F0107" w14:paraId="43BA5053" w14:textId="77777777" w:rsidTr="00593025">
        <w:tc>
          <w:tcPr>
            <w:tcW w:w="2689" w:type="dxa"/>
            <w:tcBorders>
              <w:top w:val="single" w:sz="4" w:space="0" w:color="auto"/>
              <w:left w:val="single" w:sz="4" w:space="0" w:color="auto"/>
              <w:bottom w:val="single" w:sz="4" w:space="0" w:color="auto"/>
              <w:right w:val="single" w:sz="4" w:space="0" w:color="auto"/>
            </w:tcBorders>
            <w:shd w:val="clear" w:color="auto" w:fill="8DB3E2"/>
          </w:tcPr>
          <w:p w14:paraId="131FEB87" w14:textId="19BD0772" w:rsidR="00593467" w:rsidRPr="71191A64" w:rsidRDefault="00AF0D2A" w:rsidP="71191A64">
            <w:pPr>
              <w:autoSpaceDE w:val="0"/>
              <w:autoSpaceDN w:val="0"/>
              <w:adjustRightInd w:val="0"/>
              <w:rPr>
                <w:rFonts w:cs="Arial"/>
                <w:b/>
                <w:bCs/>
                <w:color w:val="000000" w:themeColor="text1"/>
              </w:rPr>
            </w:pPr>
            <w:r>
              <w:rPr>
                <w:rFonts w:cs="Arial"/>
                <w:b/>
                <w:bCs/>
                <w:color w:val="000000" w:themeColor="text1"/>
              </w:rPr>
              <w:lastRenderedPageBreak/>
              <w:t>Implementation Date (current version)</w:t>
            </w:r>
          </w:p>
        </w:tc>
        <w:tc>
          <w:tcPr>
            <w:tcW w:w="7654" w:type="dxa"/>
            <w:tcBorders>
              <w:top w:val="single" w:sz="4" w:space="0" w:color="auto"/>
              <w:left w:val="single" w:sz="4" w:space="0" w:color="auto"/>
              <w:bottom w:val="single" w:sz="4" w:space="0" w:color="auto"/>
              <w:right w:val="single" w:sz="4" w:space="0" w:color="auto"/>
            </w:tcBorders>
          </w:tcPr>
          <w:p w14:paraId="4A9B528A" w14:textId="75136F72" w:rsidR="00593467" w:rsidRPr="71191A64" w:rsidRDefault="00AF0D2A" w:rsidP="71191A64">
            <w:pPr>
              <w:autoSpaceDE w:val="0"/>
              <w:autoSpaceDN w:val="0"/>
              <w:adjustRightInd w:val="0"/>
              <w:rPr>
                <w:rFonts w:cs="Arial"/>
                <w:color w:val="000000" w:themeColor="text1"/>
              </w:rPr>
            </w:pPr>
            <w:r w:rsidRPr="005C26BB">
              <w:rPr>
                <w:rFonts w:cs="Arial"/>
              </w:rPr>
              <w:t>0</w:t>
            </w:r>
            <w:r w:rsidR="005C26BB" w:rsidRPr="005C26BB">
              <w:rPr>
                <w:rFonts w:cs="Arial"/>
              </w:rPr>
              <w:t>2</w:t>
            </w:r>
            <w:r w:rsidRPr="005C26BB">
              <w:rPr>
                <w:rFonts w:cs="Arial"/>
              </w:rPr>
              <w:t>/</w:t>
            </w:r>
            <w:r w:rsidR="005C26BB" w:rsidRPr="005C26BB">
              <w:rPr>
                <w:rFonts w:cs="Arial"/>
              </w:rPr>
              <w:t>08</w:t>
            </w:r>
            <w:r w:rsidRPr="005C26BB">
              <w:rPr>
                <w:rFonts w:cs="Arial"/>
              </w:rPr>
              <w:t>/202</w:t>
            </w:r>
            <w:r w:rsidR="005C26BB" w:rsidRPr="005C26BB">
              <w:rPr>
                <w:rFonts w:cs="Arial"/>
              </w:rPr>
              <w:t>3</w:t>
            </w:r>
          </w:p>
        </w:tc>
      </w:tr>
      <w:tr w:rsidR="008957AF" w:rsidRPr="008F0107" w14:paraId="309DFFA8" w14:textId="77777777" w:rsidTr="00593025">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4488C2BC" w14:textId="77777777" w:rsidR="008957AF" w:rsidRPr="008F0107" w:rsidRDefault="008957AF" w:rsidP="71191A64">
            <w:pPr>
              <w:autoSpaceDE w:val="0"/>
              <w:autoSpaceDN w:val="0"/>
              <w:adjustRightInd w:val="0"/>
              <w:rPr>
                <w:rFonts w:cs="Arial"/>
                <w:b/>
                <w:bCs/>
                <w:color w:val="000000"/>
              </w:rPr>
            </w:pPr>
            <w:r w:rsidRPr="71191A64">
              <w:rPr>
                <w:rFonts w:cs="Arial"/>
                <w:b/>
                <w:bCs/>
                <w:color w:val="000000" w:themeColor="text1"/>
              </w:rPr>
              <w:t>Next Review Date</w:t>
            </w:r>
          </w:p>
          <w:p w14:paraId="50D7EBCE" w14:textId="6509D04B" w:rsidR="00EB0903" w:rsidRPr="008F0107" w:rsidRDefault="00EB0903" w:rsidP="71191A64">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tcPr>
          <w:p w14:paraId="2F2FBEA1" w14:textId="4680C786" w:rsidR="008957AF" w:rsidRPr="001E2B8E" w:rsidRDefault="00B14515" w:rsidP="71191A64">
            <w:pPr>
              <w:autoSpaceDE w:val="0"/>
              <w:autoSpaceDN w:val="0"/>
              <w:adjustRightInd w:val="0"/>
              <w:rPr>
                <w:rFonts w:cs="Arial"/>
                <w:color w:val="000000"/>
              </w:rPr>
            </w:pPr>
            <w:r w:rsidRPr="71191A64">
              <w:t>SOP to be reviewed in line with any future Gold Guide revisions, or every 12 months, whichever comes first</w:t>
            </w:r>
          </w:p>
          <w:p w14:paraId="067E26AA" w14:textId="62353B45" w:rsidR="00DA5816" w:rsidRPr="008F0107" w:rsidRDefault="00DA5816" w:rsidP="71191A64">
            <w:pPr>
              <w:autoSpaceDE w:val="0"/>
              <w:autoSpaceDN w:val="0"/>
              <w:adjustRightInd w:val="0"/>
              <w:rPr>
                <w:rFonts w:cs="Arial"/>
                <w:color w:val="000000"/>
              </w:rPr>
            </w:pPr>
          </w:p>
        </w:tc>
      </w:tr>
      <w:tr w:rsidR="008957AF" w:rsidRPr="008F0107" w14:paraId="5A947FBC" w14:textId="77777777" w:rsidTr="00593025">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13639CCE" w14:textId="77777777" w:rsidR="008957AF" w:rsidRPr="008F0107" w:rsidRDefault="008957AF" w:rsidP="71191A64">
            <w:pPr>
              <w:autoSpaceDE w:val="0"/>
              <w:autoSpaceDN w:val="0"/>
              <w:adjustRightInd w:val="0"/>
              <w:rPr>
                <w:rFonts w:cs="Arial"/>
                <w:b/>
                <w:bCs/>
                <w:color w:val="000000"/>
              </w:rPr>
            </w:pPr>
            <w:r w:rsidRPr="71191A64">
              <w:rPr>
                <w:rFonts w:cs="Arial"/>
                <w:b/>
                <w:bCs/>
                <w:color w:val="000000" w:themeColor="text1"/>
              </w:rPr>
              <w:t>Document Author</w:t>
            </w:r>
          </w:p>
          <w:p w14:paraId="386596D7" w14:textId="4DA378F1" w:rsidR="00EB0903" w:rsidRPr="008F0107" w:rsidRDefault="00EB0903" w:rsidP="71191A64">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tcPr>
          <w:p w14:paraId="625902CE" w14:textId="69B5C0D5" w:rsidR="00DA5816" w:rsidRDefault="00ED253C" w:rsidP="71191A64">
            <w:pPr>
              <w:autoSpaceDE w:val="0"/>
              <w:autoSpaceDN w:val="0"/>
              <w:adjustRightInd w:val="0"/>
              <w:rPr>
                <w:rFonts w:cs="Arial"/>
                <w:color w:val="000000"/>
              </w:rPr>
            </w:pPr>
            <w:r w:rsidRPr="0069557A">
              <w:rPr>
                <w:rFonts w:cs="Arial"/>
              </w:rPr>
              <w:t>English Deans and Senior Managers Group (formerly HEED &amp; HEED Senior Managers Group)</w:t>
            </w:r>
            <w:r>
              <w:rPr>
                <w:rFonts w:cs="Arial"/>
              </w:rPr>
              <w:t xml:space="preserve"> </w:t>
            </w:r>
          </w:p>
          <w:p w14:paraId="2C588289" w14:textId="51E1E69D" w:rsidR="00DA5816" w:rsidRPr="008F0107" w:rsidRDefault="00DA5816" w:rsidP="71191A64">
            <w:pPr>
              <w:autoSpaceDE w:val="0"/>
              <w:autoSpaceDN w:val="0"/>
              <w:adjustRightInd w:val="0"/>
              <w:rPr>
                <w:rFonts w:cs="Arial"/>
                <w:color w:val="000000"/>
              </w:rPr>
            </w:pPr>
          </w:p>
        </w:tc>
      </w:tr>
    </w:tbl>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33"/>
        <w:gridCol w:w="1702"/>
        <w:gridCol w:w="5979"/>
      </w:tblGrid>
      <w:tr w:rsidR="008957AF" w:rsidRPr="008F0107" w14:paraId="49A537B3" w14:textId="77777777" w:rsidTr="00593025">
        <w:trPr>
          <w:trHeight w:val="271"/>
        </w:trPr>
        <w:tc>
          <w:tcPr>
            <w:tcW w:w="112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2770709" w14:textId="77777777" w:rsidR="008957AF" w:rsidRPr="008F0107" w:rsidRDefault="008957AF" w:rsidP="71191A64">
            <w:pPr>
              <w:rPr>
                <w:rFonts w:eastAsia="Times New Roman" w:cs="Arial"/>
                <w:b/>
                <w:bCs/>
                <w:lang w:eastAsia="en-GB"/>
              </w:rPr>
            </w:pPr>
            <w:r w:rsidRPr="71191A64">
              <w:rPr>
                <w:rFonts w:eastAsia="Times New Roman" w:cs="Arial"/>
                <w:b/>
                <w:bCs/>
                <w:lang w:eastAsia="en-GB"/>
              </w:rPr>
              <w:t>Version</w:t>
            </w:r>
          </w:p>
        </w:tc>
        <w:tc>
          <w:tcPr>
            <w:tcW w:w="153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B559A37" w14:textId="77777777" w:rsidR="008957AF" w:rsidRPr="008F0107" w:rsidRDefault="008957AF" w:rsidP="71191A64">
            <w:pPr>
              <w:rPr>
                <w:rFonts w:eastAsia="Times New Roman" w:cs="Arial"/>
                <w:b/>
                <w:bCs/>
                <w:lang w:eastAsia="en-GB"/>
              </w:rPr>
            </w:pPr>
            <w:r w:rsidRPr="71191A64">
              <w:rPr>
                <w:rFonts w:eastAsia="Times New Roman" w:cs="Arial"/>
                <w:b/>
                <w:bCs/>
                <w:lang w:eastAsia="en-GB"/>
              </w:rPr>
              <w:t>Date</w:t>
            </w:r>
          </w:p>
        </w:tc>
        <w:tc>
          <w:tcPr>
            <w:tcW w:w="170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E0A27CB" w14:textId="77777777" w:rsidR="008957AF" w:rsidRPr="008F0107" w:rsidRDefault="008957AF" w:rsidP="71191A64">
            <w:pPr>
              <w:rPr>
                <w:rFonts w:eastAsia="Times New Roman" w:cs="Arial"/>
                <w:b/>
                <w:bCs/>
                <w:lang w:eastAsia="en-GB"/>
              </w:rPr>
            </w:pPr>
            <w:r w:rsidRPr="71191A64">
              <w:rPr>
                <w:rFonts w:eastAsia="Times New Roman" w:cs="Arial"/>
                <w:b/>
                <w:bCs/>
                <w:lang w:eastAsia="en-GB"/>
              </w:rPr>
              <w:t>Author</w:t>
            </w:r>
          </w:p>
        </w:tc>
        <w:tc>
          <w:tcPr>
            <w:tcW w:w="597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6A55B4F" w14:textId="77777777" w:rsidR="008957AF" w:rsidRPr="008F0107" w:rsidRDefault="008957AF" w:rsidP="71191A64">
            <w:pPr>
              <w:rPr>
                <w:rFonts w:eastAsia="Times New Roman" w:cs="Arial"/>
                <w:b/>
                <w:bCs/>
                <w:lang w:eastAsia="en-GB"/>
              </w:rPr>
            </w:pPr>
            <w:r w:rsidRPr="71191A64">
              <w:rPr>
                <w:rFonts w:eastAsia="Times New Roman" w:cs="Arial"/>
                <w:b/>
                <w:bCs/>
                <w:lang w:eastAsia="en-GB"/>
              </w:rPr>
              <w:t xml:space="preserve">Notes </w:t>
            </w:r>
          </w:p>
          <w:p w14:paraId="10ACA0E5" w14:textId="77777777" w:rsidR="008957AF" w:rsidRPr="008F0107" w:rsidRDefault="008957AF" w:rsidP="71191A64">
            <w:pPr>
              <w:rPr>
                <w:rFonts w:eastAsia="Times New Roman" w:cs="Arial"/>
                <w:lang w:eastAsia="en-GB"/>
              </w:rPr>
            </w:pPr>
            <w:r w:rsidRPr="71191A64">
              <w:rPr>
                <w:rFonts w:eastAsia="Times New Roman" w:cs="Arial"/>
                <w:lang w:eastAsia="en-GB"/>
              </w:rPr>
              <w:t>Reason for Change, what has changed, etc</w:t>
            </w:r>
          </w:p>
        </w:tc>
      </w:tr>
      <w:tr w:rsidR="008957AF" w:rsidRPr="008F0107" w14:paraId="7EDCDD8C" w14:textId="77777777" w:rsidTr="00593025">
        <w:trPr>
          <w:trHeight w:val="271"/>
        </w:trPr>
        <w:tc>
          <w:tcPr>
            <w:tcW w:w="1129" w:type="dxa"/>
            <w:tcBorders>
              <w:top w:val="single" w:sz="4" w:space="0" w:color="auto"/>
              <w:left w:val="single" w:sz="4" w:space="0" w:color="auto"/>
              <w:bottom w:val="single" w:sz="4" w:space="0" w:color="auto"/>
              <w:right w:val="single" w:sz="4" w:space="0" w:color="auto"/>
            </w:tcBorders>
            <w:hideMark/>
          </w:tcPr>
          <w:p w14:paraId="6256A4F1" w14:textId="77777777" w:rsidR="008957AF" w:rsidRPr="008F0107" w:rsidRDefault="008957AF" w:rsidP="71191A64">
            <w:pPr>
              <w:rPr>
                <w:rFonts w:eastAsia="Times New Roman" w:cs="Arial"/>
                <w:lang w:eastAsia="en-GB"/>
              </w:rPr>
            </w:pPr>
            <w:r w:rsidRPr="71191A64">
              <w:rPr>
                <w:rFonts w:eastAsia="Times New Roman" w:cs="Arial"/>
                <w:lang w:eastAsia="en-GB"/>
              </w:rPr>
              <w:t>1</w:t>
            </w:r>
          </w:p>
        </w:tc>
        <w:tc>
          <w:tcPr>
            <w:tcW w:w="1533" w:type="dxa"/>
            <w:tcBorders>
              <w:top w:val="single" w:sz="4" w:space="0" w:color="auto"/>
              <w:left w:val="single" w:sz="4" w:space="0" w:color="auto"/>
              <w:bottom w:val="single" w:sz="4" w:space="0" w:color="auto"/>
              <w:right w:val="single" w:sz="4" w:space="0" w:color="auto"/>
            </w:tcBorders>
          </w:tcPr>
          <w:p w14:paraId="3102A65D" w14:textId="2BBAD1A1" w:rsidR="008957AF" w:rsidRPr="008F0107" w:rsidRDefault="001E2B8E" w:rsidP="71191A64">
            <w:pPr>
              <w:rPr>
                <w:rFonts w:eastAsia="Times New Roman" w:cs="Arial"/>
                <w:lang w:eastAsia="en-GB"/>
              </w:rPr>
            </w:pPr>
            <w:r w:rsidRPr="71191A64">
              <w:rPr>
                <w:rFonts w:eastAsia="Times New Roman" w:cs="Arial"/>
                <w:lang w:eastAsia="en-GB"/>
              </w:rPr>
              <w:t>17/09/2019</w:t>
            </w:r>
          </w:p>
        </w:tc>
        <w:tc>
          <w:tcPr>
            <w:tcW w:w="1702" w:type="dxa"/>
            <w:tcBorders>
              <w:top w:val="single" w:sz="4" w:space="0" w:color="auto"/>
              <w:left w:val="single" w:sz="4" w:space="0" w:color="auto"/>
              <w:bottom w:val="single" w:sz="4" w:space="0" w:color="auto"/>
              <w:right w:val="single" w:sz="4" w:space="0" w:color="auto"/>
            </w:tcBorders>
          </w:tcPr>
          <w:p w14:paraId="4DB51E71" w14:textId="1EE8FAEA" w:rsidR="008957AF" w:rsidRPr="008F0107" w:rsidRDefault="001E2B8E" w:rsidP="71191A64">
            <w:pPr>
              <w:rPr>
                <w:rFonts w:eastAsia="Times New Roman" w:cs="Arial"/>
                <w:lang w:eastAsia="en-GB"/>
              </w:rPr>
            </w:pPr>
            <w:r w:rsidRPr="71191A64">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385DBB07" w14:textId="34535FD6" w:rsidR="008957AF" w:rsidRPr="008F0107" w:rsidRDefault="001E2B8E" w:rsidP="71191A64">
            <w:pPr>
              <w:rPr>
                <w:rFonts w:eastAsia="Times New Roman" w:cs="Arial"/>
                <w:lang w:eastAsia="en-GB"/>
              </w:rPr>
            </w:pPr>
            <w:r w:rsidRPr="71191A64">
              <w:rPr>
                <w:rFonts w:eastAsia="Times New Roman" w:cs="Arial"/>
                <w:lang w:eastAsia="en-GB"/>
              </w:rPr>
              <w:t>Document signed off at HEED</w:t>
            </w:r>
          </w:p>
        </w:tc>
      </w:tr>
      <w:tr w:rsidR="008957AF" w:rsidRPr="008F0107" w14:paraId="2C3AAFA1" w14:textId="77777777" w:rsidTr="00593025">
        <w:trPr>
          <w:trHeight w:val="271"/>
        </w:trPr>
        <w:tc>
          <w:tcPr>
            <w:tcW w:w="1129" w:type="dxa"/>
            <w:tcBorders>
              <w:top w:val="single" w:sz="4" w:space="0" w:color="auto"/>
              <w:left w:val="single" w:sz="4" w:space="0" w:color="auto"/>
              <w:bottom w:val="single" w:sz="4" w:space="0" w:color="auto"/>
              <w:right w:val="single" w:sz="4" w:space="0" w:color="auto"/>
            </w:tcBorders>
          </w:tcPr>
          <w:p w14:paraId="7A2C342C" w14:textId="2ED00629" w:rsidR="008957AF" w:rsidRPr="008F0107" w:rsidRDefault="00936169" w:rsidP="71191A64">
            <w:pPr>
              <w:rPr>
                <w:rFonts w:eastAsia="Times New Roman" w:cs="Arial"/>
                <w:lang w:eastAsia="en-GB"/>
              </w:rPr>
            </w:pPr>
            <w:r w:rsidRPr="71191A64">
              <w:rPr>
                <w:rFonts w:eastAsia="Times New Roman" w:cs="Arial"/>
                <w:lang w:eastAsia="en-GB"/>
              </w:rPr>
              <w:t>2</w:t>
            </w:r>
          </w:p>
        </w:tc>
        <w:tc>
          <w:tcPr>
            <w:tcW w:w="1533" w:type="dxa"/>
            <w:tcBorders>
              <w:top w:val="single" w:sz="4" w:space="0" w:color="auto"/>
              <w:left w:val="single" w:sz="4" w:space="0" w:color="auto"/>
              <w:bottom w:val="single" w:sz="4" w:space="0" w:color="auto"/>
              <w:right w:val="single" w:sz="4" w:space="0" w:color="auto"/>
            </w:tcBorders>
          </w:tcPr>
          <w:p w14:paraId="0CDA86FB" w14:textId="085C0196" w:rsidR="008957AF" w:rsidRPr="008F0107" w:rsidRDefault="001305B4" w:rsidP="71191A64">
            <w:pPr>
              <w:rPr>
                <w:rFonts w:eastAsia="Times New Roman" w:cs="Arial"/>
                <w:lang w:eastAsia="en-GB"/>
              </w:rPr>
            </w:pPr>
            <w:r>
              <w:rPr>
                <w:rFonts w:eastAsia="Times New Roman" w:cs="Arial"/>
                <w:lang w:eastAsia="en-GB"/>
              </w:rPr>
              <w:t>28</w:t>
            </w:r>
            <w:r w:rsidR="00936169" w:rsidRPr="71191A64">
              <w:rPr>
                <w:rFonts w:eastAsia="Times New Roman" w:cs="Arial"/>
                <w:lang w:eastAsia="en-GB"/>
              </w:rPr>
              <w:t>/</w:t>
            </w:r>
            <w:r>
              <w:rPr>
                <w:rFonts w:eastAsia="Times New Roman" w:cs="Arial"/>
                <w:lang w:eastAsia="en-GB"/>
              </w:rPr>
              <w:t>04</w:t>
            </w:r>
            <w:r w:rsidR="00936169" w:rsidRPr="71191A64">
              <w:rPr>
                <w:rFonts w:eastAsia="Times New Roman" w:cs="Arial"/>
                <w:lang w:eastAsia="en-GB"/>
              </w:rPr>
              <w:t>/202</w:t>
            </w:r>
            <w:r w:rsidR="607708E4" w:rsidRPr="71191A64">
              <w:rPr>
                <w:rFonts w:eastAsia="Times New Roman" w:cs="Arial"/>
                <w:lang w:eastAsia="en-GB"/>
              </w:rPr>
              <w:t>1</w:t>
            </w:r>
          </w:p>
        </w:tc>
        <w:tc>
          <w:tcPr>
            <w:tcW w:w="1702" w:type="dxa"/>
            <w:tcBorders>
              <w:top w:val="single" w:sz="4" w:space="0" w:color="auto"/>
              <w:left w:val="single" w:sz="4" w:space="0" w:color="auto"/>
              <w:bottom w:val="single" w:sz="4" w:space="0" w:color="auto"/>
              <w:right w:val="single" w:sz="4" w:space="0" w:color="auto"/>
            </w:tcBorders>
          </w:tcPr>
          <w:p w14:paraId="3678FC90" w14:textId="42FAB467" w:rsidR="008957AF" w:rsidRPr="008F0107" w:rsidRDefault="00936169" w:rsidP="71191A64">
            <w:pPr>
              <w:rPr>
                <w:rFonts w:eastAsia="Times New Roman" w:cs="Arial"/>
                <w:lang w:eastAsia="en-GB"/>
              </w:rPr>
            </w:pPr>
            <w:r w:rsidRPr="71191A64">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5A7DEEB0" w14:textId="703F647B" w:rsidR="008957AF" w:rsidRPr="008F0107" w:rsidRDefault="001305B4" w:rsidP="71191A64">
            <w:pPr>
              <w:rPr>
                <w:rFonts w:eastAsia="Times New Roman" w:cs="Arial"/>
                <w:lang w:eastAsia="en-GB"/>
              </w:rPr>
            </w:pPr>
            <w:r>
              <w:rPr>
                <w:rFonts w:eastAsia="Times New Roman" w:cs="Arial"/>
                <w:lang w:eastAsia="en-GB"/>
              </w:rPr>
              <w:t>Document signed off at HEED</w:t>
            </w:r>
          </w:p>
        </w:tc>
      </w:tr>
      <w:tr w:rsidR="008957AF" w:rsidRPr="008F0107" w14:paraId="583C4E6C" w14:textId="77777777" w:rsidTr="00593025">
        <w:trPr>
          <w:trHeight w:val="271"/>
        </w:trPr>
        <w:tc>
          <w:tcPr>
            <w:tcW w:w="1129" w:type="dxa"/>
            <w:tcBorders>
              <w:top w:val="single" w:sz="4" w:space="0" w:color="auto"/>
              <w:left w:val="single" w:sz="4" w:space="0" w:color="auto"/>
              <w:bottom w:val="single" w:sz="4" w:space="0" w:color="auto"/>
              <w:right w:val="single" w:sz="4" w:space="0" w:color="auto"/>
            </w:tcBorders>
          </w:tcPr>
          <w:p w14:paraId="62707739" w14:textId="02EC9316" w:rsidR="008957AF" w:rsidRPr="00AF0D2A" w:rsidRDefault="1F4DC4CB" w:rsidP="1F4DC4CB">
            <w:pPr>
              <w:rPr>
                <w:rFonts w:eastAsia="Times New Roman" w:cs="Arial"/>
                <w:lang w:eastAsia="en-GB"/>
              </w:rPr>
            </w:pPr>
            <w:r w:rsidRPr="00AF0D2A">
              <w:rPr>
                <w:rFonts w:eastAsia="Times New Roman" w:cs="Arial"/>
                <w:lang w:eastAsia="en-GB"/>
              </w:rPr>
              <w:t>3</w:t>
            </w:r>
          </w:p>
        </w:tc>
        <w:tc>
          <w:tcPr>
            <w:tcW w:w="1533" w:type="dxa"/>
            <w:tcBorders>
              <w:top w:val="single" w:sz="4" w:space="0" w:color="auto"/>
              <w:left w:val="single" w:sz="4" w:space="0" w:color="auto"/>
              <w:bottom w:val="single" w:sz="4" w:space="0" w:color="auto"/>
              <w:right w:val="single" w:sz="4" w:space="0" w:color="auto"/>
            </w:tcBorders>
          </w:tcPr>
          <w:p w14:paraId="0F9AA758" w14:textId="7A20DA24" w:rsidR="008957AF" w:rsidRPr="00AF0D2A" w:rsidRDefault="00AF0D2A" w:rsidP="1F4DC4CB">
            <w:pPr>
              <w:rPr>
                <w:rFonts w:eastAsia="Times New Roman" w:cs="Arial"/>
                <w:lang w:eastAsia="en-GB"/>
              </w:rPr>
            </w:pPr>
            <w:r>
              <w:rPr>
                <w:rFonts w:eastAsia="Times New Roman" w:cs="Arial"/>
                <w:lang w:eastAsia="en-GB"/>
              </w:rPr>
              <w:t>11</w:t>
            </w:r>
            <w:r w:rsidR="1F4DC4CB" w:rsidRPr="00AF0D2A">
              <w:rPr>
                <w:rFonts w:eastAsia="Times New Roman" w:cs="Arial"/>
                <w:lang w:eastAsia="en-GB"/>
              </w:rPr>
              <w:t>/</w:t>
            </w:r>
            <w:r>
              <w:rPr>
                <w:rFonts w:eastAsia="Times New Roman" w:cs="Arial"/>
                <w:lang w:eastAsia="en-GB"/>
              </w:rPr>
              <w:t>10</w:t>
            </w:r>
            <w:r w:rsidR="1F4DC4CB" w:rsidRPr="00AF0D2A">
              <w:rPr>
                <w:rFonts w:eastAsia="Times New Roman" w:cs="Arial"/>
                <w:lang w:eastAsia="en-GB"/>
              </w:rPr>
              <w:t>/2022</w:t>
            </w:r>
          </w:p>
        </w:tc>
        <w:tc>
          <w:tcPr>
            <w:tcW w:w="1702" w:type="dxa"/>
            <w:tcBorders>
              <w:top w:val="single" w:sz="4" w:space="0" w:color="auto"/>
              <w:left w:val="single" w:sz="4" w:space="0" w:color="auto"/>
              <w:bottom w:val="single" w:sz="4" w:space="0" w:color="auto"/>
              <w:right w:val="single" w:sz="4" w:space="0" w:color="auto"/>
            </w:tcBorders>
          </w:tcPr>
          <w:p w14:paraId="3B128215" w14:textId="2FD808C7" w:rsidR="008957AF" w:rsidRPr="00AF0D2A" w:rsidRDefault="1F4DC4CB" w:rsidP="1F4DC4CB">
            <w:pPr>
              <w:rPr>
                <w:rFonts w:eastAsia="Times New Roman" w:cs="Arial"/>
                <w:lang w:eastAsia="en-GB"/>
              </w:rPr>
            </w:pPr>
            <w:r w:rsidRPr="00AF0D2A">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5015326D" w14:textId="2EC829DA" w:rsidR="008957AF" w:rsidRPr="00AF0D2A" w:rsidRDefault="00AF0D2A" w:rsidP="1F4DC4CB">
            <w:pPr>
              <w:rPr>
                <w:rFonts w:eastAsia="Times New Roman" w:cs="Arial"/>
                <w:lang w:eastAsia="en-GB"/>
              </w:rPr>
            </w:pPr>
            <w:r>
              <w:rPr>
                <w:rFonts w:eastAsia="Times New Roman" w:cs="Arial"/>
                <w:lang w:eastAsia="en-GB"/>
              </w:rPr>
              <w:t>Document signed off at HEED</w:t>
            </w:r>
          </w:p>
        </w:tc>
      </w:tr>
      <w:tr w:rsidR="008957AF" w:rsidRPr="008F0107" w14:paraId="06509673" w14:textId="77777777" w:rsidTr="00593025">
        <w:trPr>
          <w:trHeight w:val="271"/>
        </w:trPr>
        <w:tc>
          <w:tcPr>
            <w:tcW w:w="1129" w:type="dxa"/>
            <w:tcBorders>
              <w:top w:val="single" w:sz="4" w:space="0" w:color="auto"/>
              <w:left w:val="single" w:sz="4" w:space="0" w:color="auto"/>
              <w:bottom w:val="single" w:sz="4" w:space="0" w:color="auto"/>
              <w:right w:val="single" w:sz="4" w:space="0" w:color="auto"/>
            </w:tcBorders>
          </w:tcPr>
          <w:p w14:paraId="1C99625F" w14:textId="700E65AE" w:rsidR="008957AF" w:rsidRPr="008F0107" w:rsidRDefault="00814A7C" w:rsidP="71191A64">
            <w:pPr>
              <w:rPr>
                <w:rFonts w:eastAsia="Times New Roman" w:cs="Arial"/>
                <w:lang w:eastAsia="en-GB"/>
              </w:rPr>
            </w:pPr>
            <w:r w:rsidRPr="005C26BB">
              <w:rPr>
                <w:rFonts w:eastAsia="Times New Roman" w:cs="Arial"/>
                <w:lang w:eastAsia="en-GB"/>
              </w:rPr>
              <w:t>4</w:t>
            </w:r>
          </w:p>
        </w:tc>
        <w:tc>
          <w:tcPr>
            <w:tcW w:w="1533" w:type="dxa"/>
            <w:tcBorders>
              <w:top w:val="single" w:sz="4" w:space="0" w:color="auto"/>
              <w:left w:val="single" w:sz="4" w:space="0" w:color="auto"/>
              <w:bottom w:val="single" w:sz="4" w:space="0" w:color="auto"/>
              <w:right w:val="single" w:sz="4" w:space="0" w:color="auto"/>
            </w:tcBorders>
          </w:tcPr>
          <w:p w14:paraId="435FA7E2" w14:textId="70626D17" w:rsidR="008957AF" w:rsidRPr="008F0107" w:rsidRDefault="005C26BB" w:rsidP="71191A64">
            <w:pPr>
              <w:rPr>
                <w:rFonts w:eastAsia="Times New Roman" w:cs="Arial"/>
                <w:lang w:eastAsia="en-GB"/>
              </w:rPr>
            </w:pPr>
            <w:r>
              <w:rPr>
                <w:rFonts w:eastAsia="Times New Roman" w:cs="Arial"/>
                <w:lang w:eastAsia="en-GB"/>
              </w:rPr>
              <w:t>19/07/2023</w:t>
            </w:r>
          </w:p>
        </w:tc>
        <w:tc>
          <w:tcPr>
            <w:tcW w:w="1702" w:type="dxa"/>
            <w:tcBorders>
              <w:top w:val="single" w:sz="4" w:space="0" w:color="auto"/>
              <w:left w:val="single" w:sz="4" w:space="0" w:color="auto"/>
              <w:bottom w:val="single" w:sz="4" w:space="0" w:color="auto"/>
              <w:right w:val="single" w:sz="4" w:space="0" w:color="auto"/>
            </w:tcBorders>
          </w:tcPr>
          <w:p w14:paraId="47B86CFB" w14:textId="4BE0D25D" w:rsidR="008957AF" w:rsidRPr="008F0107" w:rsidRDefault="005C26BB" w:rsidP="71191A64">
            <w:pPr>
              <w:rPr>
                <w:rFonts w:eastAsia="Times New Roman" w:cs="Arial"/>
                <w:lang w:eastAsia="en-GB"/>
              </w:rPr>
            </w:pPr>
            <w:r>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0939B7E6" w14:textId="3FEB4EAA" w:rsidR="008957AF" w:rsidRPr="008F0107" w:rsidRDefault="005C26BB" w:rsidP="71191A64">
            <w:pPr>
              <w:rPr>
                <w:rFonts w:eastAsia="Times New Roman" w:cs="Arial"/>
                <w:lang w:eastAsia="en-GB"/>
              </w:rPr>
            </w:pPr>
            <w:r>
              <w:rPr>
                <w:rFonts w:eastAsia="Times New Roman" w:cs="Arial"/>
                <w:lang w:eastAsia="en-GB"/>
              </w:rPr>
              <w:t>Document signed off at PGMDE Operational Oversight Group</w:t>
            </w:r>
          </w:p>
        </w:tc>
      </w:tr>
    </w:tbl>
    <w:p w14:paraId="5CA86D7A" w14:textId="63F9F310" w:rsidR="008957AF" w:rsidRDefault="008957AF" w:rsidP="71191A64">
      <w:pPr>
        <w:rPr>
          <w:rFonts w:eastAsia="Times New Roman" w:cs="Arial"/>
          <w:lang w:eastAsia="en-GB"/>
        </w:rPr>
      </w:pPr>
    </w:p>
    <w:p w14:paraId="644D81AA" w14:textId="77777777" w:rsidR="00DA5816" w:rsidRDefault="00DA5816" w:rsidP="71191A64">
      <w:pPr>
        <w:rPr>
          <w:rFonts w:eastAsia="Times New Roman" w:cs="Arial"/>
          <w:u w:val="single"/>
          <w:lang w:eastAsia="en-GB"/>
        </w:rPr>
      </w:pPr>
    </w:p>
    <w:p w14:paraId="622B3BB9" w14:textId="77777777" w:rsidR="00DA5816" w:rsidRDefault="00DA5816" w:rsidP="71191A64">
      <w:pPr>
        <w:rPr>
          <w:rFonts w:eastAsia="Times New Roman" w:cs="Arial"/>
          <w:u w:val="single"/>
          <w:lang w:eastAsia="en-GB"/>
        </w:rPr>
      </w:pPr>
    </w:p>
    <w:p w14:paraId="06880536" w14:textId="77777777" w:rsidR="00DA5816" w:rsidRDefault="00DA5816" w:rsidP="71191A64">
      <w:pPr>
        <w:rPr>
          <w:rFonts w:eastAsia="Times New Roman" w:cs="Arial"/>
          <w:u w:val="single"/>
          <w:lang w:eastAsia="en-GB"/>
        </w:rPr>
      </w:pPr>
    </w:p>
    <w:p w14:paraId="4DECC585" w14:textId="77777777" w:rsidR="00DA5816" w:rsidRDefault="00DA5816" w:rsidP="71191A64">
      <w:pPr>
        <w:rPr>
          <w:rFonts w:eastAsia="Times New Roman" w:cs="Arial"/>
          <w:u w:val="single"/>
          <w:lang w:eastAsia="en-GB"/>
        </w:rPr>
      </w:pPr>
    </w:p>
    <w:p w14:paraId="4E366058" w14:textId="77777777" w:rsidR="00DA5816" w:rsidRDefault="00DA5816" w:rsidP="71191A64">
      <w:pPr>
        <w:rPr>
          <w:rFonts w:eastAsia="Times New Roman" w:cs="Arial"/>
          <w:u w:val="single"/>
          <w:lang w:eastAsia="en-GB"/>
        </w:rPr>
      </w:pPr>
    </w:p>
    <w:p w14:paraId="5DE7A69F" w14:textId="77777777" w:rsidR="00637DB1" w:rsidRDefault="00637DB1" w:rsidP="00637DB1">
      <w:pPr>
        <w:rPr>
          <w:rFonts w:eastAsia="Times New Roman" w:cs="Arial"/>
          <w:lang w:eastAsia="en-GB"/>
        </w:rPr>
      </w:pPr>
    </w:p>
    <w:tbl>
      <w:tblPr>
        <w:tblStyle w:val="TableGrid1"/>
        <w:tblW w:w="8926" w:type="dxa"/>
        <w:tblLayout w:type="fixed"/>
        <w:tblLook w:val="04A0" w:firstRow="1" w:lastRow="0" w:firstColumn="1" w:lastColumn="0" w:noHBand="0" w:noVBand="1"/>
      </w:tblPr>
      <w:tblGrid>
        <w:gridCol w:w="8926"/>
      </w:tblGrid>
      <w:tr w:rsidR="00637DB1" w14:paraId="32FB4856" w14:textId="77777777" w:rsidTr="00C73012">
        <w:trPr>
          <w:trHeight w:val="1298"/>
        </w:trPr>
        <w:tc>
          <w:tcPr>
            <w:tcW w:w="8926" w:type="dxa"/>
            <w:tcBorders>
              <w:top w:val="single" w:sz="4" w:space="0" w:color="auto"/>
              <w:left w:val="single" w:sz="4" w:space="0" w:color="auto"/>
              <w:bottom w:val="single" w:sz="4" w:space="0" w:color="auto"/>
              <w:right w:val="single" w:sz="4" w:space="0" w:color="auto"/>
            </w:tcBorders>
          </w:tcPr>
          <w:p w14:paraId="1AF01A2D" w14:textId="77777777" w:rsidR="00637DB1" w:rsidRDefault="00637DB1" w:rsidP="00C73012">
            <w:pPr>
              <w:spacing w:before="120" w:after="120"/>
              <w:rPr>
                <w:rFonts w:cs="Arial"/>
              </w:rPr>
            </w:pPr>
            <w:r w:rsidRPr="75F154AD">
              <w:rPr>
                <w:rFonts w:cs="Arial"/>
                <w:u w:val="single"/>
              </w:rPr>
              <w:t>Related Documents</w:t>
            </w:r>
            <w:r w:rsidRPr="75F154AD">
              <w:rPr>
                <w:rFonts w:cs="Arial"/>
              </w:rPr>
              <w:t xml:space="preserve"> </w:t>
            </w:r>
          </w:p>
          <w:p w14:paraId="0828DFDB" w14:textId="77777777" w:rsidR="00637DB1" w:rsidRPr="00D16AF8" w:rsidRDefault="00637DB1" w:rsidP="00C73012">
            <w:pPr>
              <w:spacing w:line="259" w:lineRule="auto"/>
              <w:rPr>
                <w:rFonts w:cs="Arial"/>
                <w:i/>
                <w:iCs/>
              </w:rPr>
            </w:pPr>
          </w:p>
          <w:p w14:paraId="07711293" w14:textId="4553365C" w:rsidR="00637DB1" w:rsidRPr="00197682" w:rsidRDefault="00637DB1" w:rsidP="00197682">
            <w:pPr>
              <w:pStyle w:val="ListParagraph"/>
              <w:numPr>
                <w:ilvl w:val="0"/>
                <w:numId w:val="18"/>
              </w:numPr>
              <w:spacing w:after="10" w:line="259" w:lineRule="auto"/>
              <w:rPr>
                <w:rFonts w:eastAsia="Arial" w:cs="Arial"/>
              </w:rPr>
            </w:pPr>
            <w:r w:rsidRPr="00197682">
              <w:rPr>
                <w:rFonts w:eastAsia="Arial" w:cs="Arial"/>
                <w:i/>
                <w:iCs/>
                <w:color w:val="000000" w:themeColor="text1"/>
              </w:rPr>
              <w:t>Gold Guide 9</w:t>
            </w:r>
            <w:r w:rsidRPr="00197682">
              <w:rPr>
                <w:rFonts w:eastAsia="Arial" w:cs="Arial"/>
                <w:i/>
                <w:iCs/>
                <w:color w:val="000000" w:themeColor="text1"/>
                <w:vertAlign w:val="superscript"/>
              </w:rPr>
              <w:t>th</w:t>
            </w:r>
            <w:r w:rsidRPr="00197682">
              <w:rPr>
                <w:rFonts w:eastAsia="Arial" w:cs="Arial"/>
                <w:i/>
                <w:iCs/>
                <w:color w:val="000000" w:themeColor="text1"/>
              </w:rPr>
              <w:t xml:space="preserve"> Edition: A Reference Guide for Postgraduate Foundation and Specialty Training in the UK</w:t>
            </w:r>
            <w:r w:rsidR="00197682">
              <w:rPr>
                <w:rFonts w:eastAsia="Arial" w:cs="Arial"/>
                <w:i/>
                <w:iCs/>
                <w:color w:val="000000" w:themeColor="text1"/>
              </w:rPr>
              <w:t>:</w:t>
            </w:r>
            <w:r w:rsidR="00197682">
              <w:rPr>
                <w:rFonts w:eastAsia="Arial" w:cs="Arial"/>
                <w:i/>
                <w:iCs/>
                <w:color w:val="000000" w:themeColor="text1"/>
              </w:rPr>
              <w:br/>
            </w:r>
            <w:hyperlink r:id="rId10">
              <w:r w:rsidRPr="00197682">
                <w:rPr>
                  <w:rStyle w:val="Hyperlink"/>
                  <w:rFonts w:eastAsia="Arial" w:cs="Arial"/>
                </w:rPr>
                <w:t>https://www.copmed.org.uk/gold-guide/gold-guide-9th-edition</w:t>
              </w:r>
            </w:hyperlink>
          </w:p>
          <w:p w14:paraId="17E253B7" w14:textId="77777777" w:rsidR="00637DB1" w:rsidRDefault="00637DB1" w:rsidP="00637DB1"/>
          <w:p w14:paraId="60B263CD" w14:textId="77777777" w:rsidR="00637DB1" w:rsidRPr="00400277" w:rsidRDefault="00637DB1" w:rsidP="00637DB1">
            <w:pPr>
              <w:rPr>
                <w:rFonts w:cs="Arial"/>
                <w:b/>
                <w:bCs/>
              </w:rPr>
            </w:pPr>
          </w:p>
          <w:p w14:paraId="6ECBA473" w14:textId="2A5E2BE8" w:rsidR="00637DB1" w:rsidRPr="00197682" w:rsidRDefault="00637DB1" w:rsidP="00637DB1">
            <w:pPr>
              <w:pStyle w:val="ListParagraph"/>
              <w:numPr>
                <w:ilvl w:val="0"/>
                <w:numId w:val="18"/>
              </w:numPr>
              <w:rPr>
                <w:rFonts w:cs="Arial"/>
              </w:rPr>
            </w:pPr>
            <w:r w:rsidRPr="00197682">
              <w:rPr>
                <w:i/>
                <w:iCs/>
              </w:rPr>
              <w:t>Terms and Conditions of Service for NHS Doctors and Dentists in Training (England) 2016</w:t>
            </w:r>
            <w:r w:rsidR="00197682">
              <w:rPr>
                <w:i/>
                <w:iCs/>
              </w:rPr>
              <w:t>:</w:t>
            </w:r>
            <w:r w:rsidR="00197682">
              <w:rPr>
                <w:i/>
                <w:iCs/>
              </w:rPr>
              <w:br/>
            </w:r>
            <w:hyperlink r:id="rId11">
              <w:r w:rsidRPr="00197682">
                <w:rPr>
                  <w:rStyle w:val="Hyperlink"/>
                  <w:rFonts w:cs="Arial"/>
                </w:rPr>
                <w:t>https://www.nhsemployers.org/-/media/Employers/Documents/Pay-and-reward/Junior-Doctors/NHSDoctorsandDentistsinTrainingEnglandTCS2016VERSION8231219.pdf</w:t>
              </w:r>
            </w:hyperlink>
            <w:r w:rsidRPr="00197682">
              <w:rPr>
                <w:rFonts w:cs="Arial"/>
              </w:rPr>
              <w:t xml:space="preserve"> </w:t>
            </w:r>
          </w:p>
          <w:p w14:paraId="1570B4DC" w14:textId="77777777" w:rsidR="00637DB1" w:rsidRPr="00400277" w:rsidRDefault="00637DB1" w:rsidP="00637DB1">
            <w:pPr>
              <w:rPr>
                <w:rFonts w:cs="Arial"/>
              </w:rPr>
            </w:pPr>
          </w:p>
          <w:p w14:paraId="23208E2E" w14:textId="77777777" w:rsidR="00637DB1" w:rsidRPr="00C338A2" w:rsidRDefault="00637DB1" w:rsidP="00C73012">
            <w:pPr>
              <w:pStyle w:val="ListParagraph"/>
              <w:spacing w:after="240"/>
              <w:ind w:left="738"/>
              <w:rPr>
                <w:rFonts w:cs="Arial"/>
                <w:i/>
                <w:iCs/>
                <w:color w:val="FF0000"/>
              </w:rPr>
            </w:pPr>
          </w:p>
        </w:tc>
      </w:tr>
    </w:tbl>
    <w:p w14:paraId="6D12EBF9" w14:textId="77777777" w:rsidR="00637DB1" w:rsidRDefault="00637DB1" w:rsidP="00637DB1">
      <w:pPr>
        <w:rPr>
          <w:rFonts w:eastAsia="Times New Roman" w:cs="Arial"/>
          <w:sz w:val="20"/>
          <w:szCs w:val="20"/>
          <w:lang w:eastAsia="en-GB"/>
        </w:rPr>
      </w:pPr>
    </w:p>
    <w:p w14:paraId="00AD832D" w14:textId="77777777" w:rsidR="00DA5816" w:rsidRDefault="00DA5816" w:rsidP="71191A64">
      <w:pPr>
        <w:rPr>
          <w:rFonts w:eastAsia="Times New Roman" w:cs="Arial"/>
          <w:u w:val="single"/>
          <w:lang w:eastAsia="en-GB"/>
        </w:rPr>
      </w:pPr>
    </w:p>
    <w:p w14:paraId="2FEA5B60" w14:textId="77777777" w:rsidR="00DA5816" w:rsidRDefault="00DA5816" w:rsidP="71191A64">
      <w:pPr>
        <w:rPr>
          <w:rFonts w:eastAsia="Times New Roman" w:cs="Arial"/>
          <w:u w:val="single"/>
          <w:lang w:eastAsia="en-GB"/>
        </w:rPr>
      </w:pPr>
    </w:p>
    <w:p w14:paraId="04B194ED" w14:textId="77777777" w:rsidR="00DA5816" w:rsidRDefault="00DA5816" w:rsidP="71191A64">
      <w:pPr>
        <w:rPr>
          <w:rFonts w:eastAsia="Times New Roman" w:cs="Arial"/>
          <w:u w:val="single"/>
          <w:lang w:eastAsia="en-GB"/>
        </w:rPr>
      </w:pPr>
    </w:p>
    <w:p w14:paraId="56C1C7C2" w14:textId="77777777" w:rsidR="00DA5816" w:rsidRDefault="00DA5816" w:rsidP="71191A64">
      <w:pPr>
        <w:rPr>
          <w:rFonts w:eastAsia="Times New Roman" w:cs="Arial"/>
          <w:u w:val="single"/>
          <w:lang w:eastAsia="en-GB"/>
        </w:rPr>
      </w:pPr>
    </w:p>
    <w:p w14:paraId="6A394348" w14:textId="7AC1D742" w:rsidR="00D12D53" w:rsidRPr="00582AF4" w:rsidRDefault="00582AF4" w:rsidP="5A041715">
      <w:pPr>
        <w:pStyle w:val="Heading1"/>
        <w:spacing w:before="240" w:after="360"/>
        <w:contextualSpacing/>
        <w:rPr>
          <w:rFonts w:cstheme="majorBidi"/>
          <w:b w:val="0"/>
          <w:bCs w:val="0"/>
          <w:color w:val="005EB8"/>
        </w:rPr>
      </w:pPr>
      <w:r w:rsidRPr="5A041715">
        <w:rPr>
          <w:rFonts w:cstheme="majorBidi"/>
          <w:b w:val="0"/>
          <w:bCs w:val="0"/>
          <w:color w:val="005EB8"/>
        </w:rPr>
        <w:t xml:space="preserve">1. </w:t>
      </w:r>
      <w:r w:rsidR="00634244" w:rsidRPr="5A041715">
        <w:rPr>
          <w:rFonts w:cstheme="majorBidi"/>
          <w:b w:val="0"/>
          <w:bCs w:val="0"/>
          <w:color w:val="005EB8"/>
        </w:rPr>
        <w:t xml:space="preserve">Introduction </w:t>
      </w:r>
    </w:p>
    <w:p w14:paraId="088D8D9C" w14:textId="6F78E732" w:rsidR="00634244" w:rsidRDefault="00634244" w:rsidP="71191A64">
      <w:pPr>
        <w:rPr>
          <w:rFonts w:cs="Arial"/>
        </w:rPr>
      </w:pPr>
      <w:r w:rsidRPr="71191A64">
        <w:rPr>
          <w:rFonts w:cs="Arial"/>
        </w:rPr>
        <w:t xml:space="preserve">Please note that the following </w:t>
      </w:r>
      <w:r w:rsidR="002E7665" w:rsidRPr="71191A64">
        <w:rPr>
          <w:rFonts w:cs="Arial"/>
        </w:rPr>
        <w:t>g</w:t>
      </w:r>
      <w:r w:rsidRPr="71191A64">
        <w:rPr>
          <w:rFonts w:cs="Arial"/>
        </w:rPr>
        <w:t xml:space="preserve">uidance regarding the Period of Grace </w:t>
      </w:r>
      <w:r w:rsidR="4C66CDAA" w:rsidRPr="71191A64">
        <w:rPr>
          <w:rFonts w:cs="Arial"/>
        </w:rPr>
        <w:t xml:space="preserve">(POG) </w:t>
      </w:r>
      <w:r w:rsidRPr="71191A64">
        <w:rPr>
          <w:rFonts w:cs="Arial"/>
        </w:rPr>
        <w:t xml:space="preserve">does not apply to General Practice trainees or those completing core </w:t>
      </w:r>
      <w:r w:rsidR="002E7665" w:rsidRPr="71191A64">
        <w:rPr>
          <w:rFonts w:cs="Arial"/>
        </w:rPr>
        <w:t xml:space="preserve">or Foundation </w:t>
      </w:r>
      <w:r w:rsidRPr="71191A64">
        <w:rPr>
          <w:rFonts w:cs="Arial"/>
        </w:rPr>
        <w:t xml:space="preserve">training. </w:t>
      </w:r>
    </w:p>
    <w:p w14:paraId="4E4A058C" w14:textId="77777777" w:rsidR="00D12D53" w:rsidRPr="00634244" w:rsidRDefault="00D12D53" w:rsidP="71191A64">
      <w:pPr>
        <w:rPr>
          <w:rFonts w:cs="Arial"/>
        </w:rPr>
      </w:pPr>
    </w:p>
    <w:p w14:paraId="397E4A73" w14:textId="10A76324" w:rsidR="00634244" w:rsidRPr="00F831EF" w:rsidRDefault="00634244" w:rsidP="71191A64">
      <w:pPr>
        <w:rPr>
          <w:rFonts w:cs="Arial"/>
        </w:rPr>
      </w:pPr>
      <w:r w:rsidRPr="43409343">
        <w:rPr>
          <w:rFonts w:cs="Arial"/>
        </w:rPr>
        <w:t>The Gold Guide states</w:t>
      </w:r>
      <w:r w:rsidR="004D6A21" w:rsidRPr="43409343">
        <w:rPr>
          <w:rFonts w:cs="Arial"/>
        </w:rPr>
        <w:t xml:space="preserve"> (</w:t>
      </w:r>
      <w:r w:rsidR="004D6A21" w:rsidRPr="00F831EF">
        <w:rPr>
          <w:rFonts w:cs="Arial"/>
        </w:rPr>
        <w:t>GG9</w:t>
      </w:r>
      <w:r w:rsidR="009F00F9" w:rsidRPr="00F831EF">
        <w:rPr>
          <w:rFonts w:cs="Arial"/>
        </w:rPr>
        <w:t>:</w:t>
      </w:r>
      <w:r w:rsidR="004D6A21" w:rsidRPr="00F831EF">
        <w:rPr>
          <w:rFonts w:cs="Arial"/>
        </w:rPr>
        <w:t xml:space="preserve"> 3.94-3.9</w:t>
      </w:r>
      <w:r w:rsidR="00B247A4" w:rsidRPr="00F831EF">
        <w:rPr>
          <w:rFonts w:cs="Arial"/>
        </w:rPr>
        <w:t>6</w:t>
      </w:r>
      <w:r w:rsidR="004D6A21" w:rsidRPr="00F831EF">
        <w:rPr>
          <w:rFonts w:cs="Arial"/>
        </w:rPr>
        <w:t>)</w:t>
      </w:r>
      <w:r w:rsidRPr="00F831EF">
        <w:rPr>
          <w:rFonts w:cs="Arial"/>
        </w:rPr>
        <w:t xml:space="preserve">: </w:t>
      </w:r>
    </w:p>
    <w:p w14:paraId="7B84F4D5" w14:textId="77777777" w:rsidR="00D615F5" w:rsidRPr="00F831EF" w:rsidRDefault="00D615F5" w:rsidP="71191A64">
      <w:pPr>
        <w:rPr>
          <w:rFonts w:cs="Arial"/>
        </w:rPr>
      </w:pPr>
    </w:p>
    <w:p w14:paraId="31C5223C" w14:textId="2ADC6A51" w:rsidR="1F4DC4CB" w:rsidRDefault="1F4DC4CB" w:rsidP="1F4DC4CB">
      <w:pPr>
        <w:rPr>
          <w:i/>
          <w:iCs/>
        </w:rPr>
      </w:pPr>
      <w:r w:rsidRPr="00F831EF">
        <w:rPr>
          <w:rFonts w:eastAsia="Arial" w:cs="Arial"/>
          <w:i/>
          <w:iCs/>
        </w:rPr>
        <w:t xml:space="preserve">UK Statutory Education Bodies (SEBs) and training organisations must comply with and implement relevant Department of Health guidance; therefore, trainees must ensure that they are eligible to apply for a consultant </w:t>
      </w:r>
      <w:r w:rsidRPr="1F4DC4CB">
        <w:rPr>
          <w:rFonts w:eastAsia="Arial" w:cs="Arial"/>
          <w:i/>
          <w:iCs/>
        </w:rPr>
        <w:t xml:space="preserve">post before submitting the application. Trainees must not be interviewed more than six calendar months prior to their anticipated CCT date. Trainees must only apply if progress has been satisfactory (Outcome 1 at last ARCP) and if it is anticipated that the final ARCP outcome will recommend that training is completed by the time the suggested CCT date is reached. </w:t>
      </w:r>
    </w:p>
    <w:p w14:paraId="0623CC46" w14:textId="66DD41E3" w:rsidR="1F4DC4CB" w:rsidRDefault="1F4DC4CB" w:rsidP="1F4DC4CB">
      <w:pPr>
        <w:rPr>
          <w:rFonts w:eastAsia="Arial" w:cs="Arial"/>
          <w:i/>
          <w:iCs/>
        </w:rPr>
      </w:pPr>
    </w:p>
    <w:p w14:paraId="712A3A9D" w14:textId="60BCA069" w:rsidR="1F4DC4CB" w:rsidRDefault="1F4DC4CB" w:rsidP="1F4DC4CB">
      <w:pPr>
        <w:rPr>
          <w:i/>
          <w:iCs/>
        </w:rPr>
      </w:pPr>
      <w:r w:rsidRPr="1F4DC4CB">
        <w:rPr>
          <w:rFonts w:eastAsia="Arial" w:cs="Arial"/>
          <w:i/>
          <w:iCs/>
        </w:rPr>
        <w:t xml:space="preserve">There may be instances when the six-month period is interrupted by statutory leave. In those circumstances, it is a decision for the potential employer as to whether the trainee is eligible for the consultant post. </w:t>
      </w:r>
    </w:p>
    <w:p w14:paraId="38C9070D" w14:textId="29E0059A" w:rsidR="1F4DC4CB" w:rsidRDefault="1F4DC4CB" w:rsidP="1F4DC4CB">
      <w:pPr>
        <w:rPr>
          <w:rFonts w:eastAsia="Arial" w:cs="Arial"/>
          <w:i/>
          <w:iCs/>
        </w:rPr>
      </w:pPr>
    </w:p>
    <w:p w14:paraId="0EF636F6" w14:textId="5054B8F8" w:rsidR="1F4DC4CB" w:rsidRDefault="1F4DC4CB" w:rsidP="1F4DC4CB">
      <w:pPr>
        <w:rPr>
          <w:rFonts w:eastAsia="Arial" w:cs="Arial"/>
          <w:i/>
          <w:iCs/>
        </w:rPr>
      </w:pPr>
      <w:r w:rsidRPr="1F4DC4CB">
        <w:rPr>
          <w:rFonts w:eastAsia="Arial" w:cs="Arial"/>
          <w:i/>
          <w:iCs/>
        </w:rPr>
        <w:t xml:space="preserve">Once a doctor has been entered on the specialist register, they are able to take up a substantive, fixed-term or honorary consultant or general practitioner post in the NHS. There are different arrangements for Foundation Trusts, which can be found at </w:t>
      </w:r>
      <w:hyperlink r:id="rId12">
        <w:r w:rsidRPr="1F4DC4CB">
          <w:rPr>
            <w:rStyle w:val="Hyperlink"/>
            <w:rFonts w:eastAsia="Arial" w:cs="Arial"/>
            <w:i/>
            <w:iCs/>
          </w:rPr>
          <w:t>https://www.gmc-uk.org/registration-and-licensing/the-medical-register/a-guide-to-the-medical-register/specialist-registration</w:t>
        </w:r>
      </w:hyperlink>
      <w:r w:rsidRPr="1F4DC4CB">
        <w:rPr>
          <w:rFonts w:eastAsia="Arial" w:cs="Arial"/>
          <w:i/>
          <w:iCs/>
        </w:rPr>
        <w:t xml:space="preserve">  </w:t>
      </w:r>
    </w:p>
    <w:p w14:paraId="50F062CB" w14:textId="77777777" w:rsidR="001E44DA" w:rsidRPr="00634244" w:rsidRDefault="001E44DA" w:rsidP="71191A64">
      <w:pPr>
        <w:rPr>
          <w:rFonts w:cs="Arial"/>
        </w:rPr>
      </w:pPr>
    </w:p>
    <w:p w14:paraId="7D56BDDD" w14:textId="778C0776" w:rsidR="71191A64" w:rsidRPr="00F831EF" w:rsidRDefault="71191A64" w:rsidP="71191A64">
      <w:pPr>
        <w:rPr>
          <w:rFonts w:cs="Arial"/>
        </w:rPr>
      </w:pPr>
    </w:p>
    <w:p w14:paraId="074C7688" w14:textId="458156F7" w:rsidR="00634244" w:rsidRPr="00F831EF" w:rsidRDefault="00634244" w:rsidP="1F4DC4CB">
      <w:pPr>
        <w:rPr>
          <w:rFonts w:cs="Arial"/>
        </w:rPr>
      </w:pPr>
      <w:r w:rsidRPr="5A041715">
        <w:rPr>
          <w:rFonts w:cs="Arial"/>
        </w:rPr>
        <w:t xml:space="preserve">Although </w:t>
      </w:r>
      <w:r w:rsidR="00924152" w:rsidRPr="5A041715">
        <w:rPr>
          <w:rFonts w:cs="Arial"/>
        </w:rPr>
        <w:t>trainees</w:t>
      </w:r>
      <w:r w:rsidRPr="5A041715">
        <w:rPr>
          <w:rFonts w:cs="Arial"/>
        </w:rPr>
        <w:t xml:space="preserve"> can apply for </w:t>
      </w:r>
      <w:r w:rsidR="00AD6D94" w:rsidRPr="5A041715">
        <w:rPr>
          <w:rFonts w:cs="Arial"/>
        </w:rPr>
        <w:t>c</w:t>
      </w:r>
      <w:r w:rsidRPr="5A041715">
        <w:rPr>
          <w:rFonts w:cs="Arial"/>
        </w:rPr>
        <w:t xml:space="preserve">onsultant posts up to six months before their anticipated CCT/or CCT via CESR(CP) date, not all are either able to do this or are successful in their applications. For this reason, many trainees are currently eligible to take a </w:t>
      </w:r>
      <w:r w:rsidR="332DD185" w:rsidRPr="5A041715">
        <w:rPr>
          <w:rFonts w:cs="Arial"/>
        </w:rPr>
        <w:t>P</w:t>
      </w:r>
      <w:r w:rsidRPr="5A041715">
        <w:rPr>
          <w:rFonts w:cs="Arial"/>
        </w:rPr>
        <w:t xml:space="preserve">eriod of </w:t>
      </w:r>
      <w:r w:rsidR="30AD0211" w:rsidRPr="5A041715">
        <w:rPr>
          <w:rFonts w:cs="Arial"/>
        </w:rPr>
        <w:t>G</w:t>
      </w:r>
      <w:r w:rsidRPr="5A041715">
        <w:rPr>
          <w:rFonts w:cs="Arial"/>
        </w:rPr>
        <w:t xml:space="preserve">race. The purpose of this is to offer continued employment (at specialty registrar level) to doctors who have completed training and not yet obtained post-CCT employment. </w:t>
      </w:r>
      <w:r w:rsidR="1F4DC4CB" w:rsidRPr="5A041715">
        <w:rPr>
          <w:rFonts w:cs="Arial"/>
        </w:rPr>
        <w:t>The extension to employment contract is for a time limited period up to a maximum of six months as set out in the 2016 Junior Doctor Contract.</w:t>
      </w:r>
    </w:p>
    <w:p w14:paraId="0981260C" w14:textId="69B76278" w:rsidR="00634244" w:rsidRPr="00F831EF" w:rsidRDefault="00634244" w:rsidP="71191A64">
      <w:pPr>
        <w:rPr>
          <w:rFonts w:cs="Arial"/>
        </w:rPr>
      </w:pPr>
      <w:r w:rsidRPr="00F831EF">
        <w:rPr>
          <w:rFonts w:cs="Arial"/>
        </w:rPr>
        <w:t xml:space="preserve"> </w:t>
      </w:r>
    </w:p>
    <w:p w14:paraId="3A9D4B70" w14:textId="2B1F4274" w:rsidR="00634244" w:rsidRDefault="00634244" w:rsidP="71191A64">
      <w:pPr>
        <w:rPr>
          <w:rFonts w:cs="Arial"/>
        </w:rPr>
      </w:pPr>
      <w:r w:rsidRPr="5A041715">
        <w:rPr>
          <w:rFonts w:cs="Arial"/>
        </w:rPr>
        <w:t>The doctor</w:t>
      </w:r>
      <w:r w:rsidR="00C40306" w:rsidRPr="5A041715">
        <w:rPr>
          <w:rFonts w:cs="Arial"/>
        </w:rPr>
        <w:t xml:space="preserve"> </w:t>
      </w:r>
      <w:r w:rsidRPr="5A041715">
        <w:rPr>
          <w:rFonts w:cs="Arial"/>
        </w:rPr>
        <w:t xml:space="preserve">is no longer considered to be in training, but in post for the purposes of service. As the </w:t>
      </w:r>
      <w:r w:rsidR="008D5624" w:rsidRPr="5A041715">
        <w:rPr>
          <w:rFonts w:cs="Arial"/>
        </w:rPr>
        <w:t>doctor</w:t>
      </w:r>
      <w:r w:rsidRPr="5A041715">
        <w:rPr>
          <w:rFonts w:cs="Arial"/>
        </w:rPr>
        <w:t xml:space="preserve"> is no longer in training, they are not eligible to make applications or enter into arrangements during their </w:t>
      </w:r>
      <w:r w:rsidR="48181D8A" w:rsidRPr="5A041715">
        <w:rPr>
          <w:rFonts w:cs="Arial"/>
        </w:rPr>
        <w:t>P</w:t>
      </w:r>
      <w:r w:rsidRPr="5A041715">
        <w:rPr>
          <w:rFonts w:cs="Arial"/>
        </w:rPr>
        <w:t xml:space="preserve">eriod of </w:t>
      </w:r>
      <w:r w:rsidR="305415FD" w:rsidRPr="5A041715">
        <w:rPr>
          <w:rFonts w:cs="Arial"/>
        </w:rPr>
        <w:t>G</w:t>
      </w:r>
      <w:r w:rsidRPr="5A041715">
        <w:rPr>
          <w:rFonts w:cs="Arial"/>
        </w:rPr>
        <w:t xml:space="preserve">race which are normally available to </w:t>
      </w:r>
      <w:r w:rsidR="008D5624" w:rsidRPr="5A041715">
        <w:rPr>
          <w:rFonts w:cs="Arial"/>
        </w:rPr>
        <w:t>trainees</w:t>
      </w:r>
      <w:r w:rsidRPr="5A041715">
        <w:rPr>
          <w:rFonts w:cs="Arial"/>
        </w:rPr>
        <w:t xml:space="preserve"> (</w:t>
      </w:r>
      <w:r w:rsidR="6F227A68" w:rsidRPr="5A041715">
        <w:rPr>
          <w:rFonts w:cs="Arial"/>
        </w:rPr>
        <w:t>e.g.,</w:t>
      </w:r>
      <w:r w:rsidRPr="5A041715">
        <w:rPr>
          <w:rFonts w:cs="Arial"/>
        </w:rPr>
        <w:t xml:space="preserve"> Inter-Deanery Transfer, Out of Programme etc). However, the </w:t>
      </w:r>
      <w:r w:rsidR="00121A69" w:rsidRPr="5A041715">
        <w:rPr>
          <w:rFonts w:cs="Arial"/>
        </w:rPr>
        <w:t>doctor</w:t>
      </w:r>
      <w:r w:rsidR="00535CD0" w:rsidRPr="5A041715">
        <w:rPr>
          <w:rFonts w:cs="Arial"/>
        </w:rPr>
        <w:t xml:space="preserve"> </w:t>
      </w:r>
      <w:r w:rsidRPr="5A041715">
        <w:rPr>
          <w:rFonts w:cs="Arial"/>
        </w:rPr>
        <w:t xml:space="preserve">will retain their National Training Number (NTN) during the Period of Grace. </w:t>
      </w:r>
    </w:p>
    <w:p w14:paraId="1EEBF5C7" w14:textId="77777777" w:rsidR="00535CD0" w:rsidRPr="00634244" w:rsidRDefault="00535CD0" w:rsidP="71191A64">
      <w:pPr>
        <w:rPr>
          <w:rFonts w:cs="Arial"/>
        </w:rPr>
      </w:pPr>
    </w:p>
    <w:p w14:paraId="3F63E08E" w14:textId="27D56E85" w:rsidR="00634244" w:rsidRDefault="00186E9F" w:rsidP="71191A64">
      <w:pPr>
        <w:autoSpaceDE w:val="0"/>
        <w:autoSpaceDN w:val="0"/>
        <w:adjustRightInd w:val="0"/>
        <w:rPr>
          <w:rFonts w:cs="Arial"/>
        </w:rPr>
      </w:pPr>
      <w:r w:rsidRPr="5A041715">
        <w:rPr>
          <w:rFonts w:cs="Arial"/>
        </w:rPr>
        <w:t xml:space="preserve">If a </w:t>
      </w:r>
      <w:r w:rsidR="00C40306" w:rsidRPr="5A041715">
        <w:rPr>
          <w:rFonts w:cs="Arial"/>
        </w:rPr>
        <w:t>doctor</w:t>
      </w:r>
      <w:r w:rsidRPr="5A041715">
        <w:rPr>
          <w:rFonts w:cs="Arial"/>
        </w:rPr>
        <w:t xml:space="preserve"> has requested a </w:t>
      </w:r>
      <w:r w:rsidR="1883277A" w:rsidRPr="5A041715">
        <w:rPr>
          <w:rFonts w:cs="Arial"/>
        </w:rPr>
        <w:t>P</w:t>
      </w:r>
      <w:r w:rsidRPr="5A041715">
        <w:rPr>
          <w:rFonts w:cs="Arial"/>
        </w:rPr>
        <w:t xml:space="preserve">eriod of </w:t>
      </w:r>
      <w:r w:rsidR="79B82B2C" w:rsidRPr="5A041715">
        <w:rPr>
          <w:rFonts w:cs="Arial"/>
        </w:rPr>
        <w:t>G</w:t>
      </w:r>
      <w:r w:rsidRPr="5A041715">
        <w:rPr>
          <w:rFonts w:cs="Arial"/>
        </w:rPr>
        <w:t>race and t</w:t>
      </w:r>
      <w:r w:rsidR="00232F09" w:rsidRPr="5A041715">
        <w:rPr>
          <w:rFonts w:cs="Arial"/>
        </w:rPr>
        <w:t xml:space="preserve">hen accepts a </w:t>
      </w:r>
      <w:r w:rsidR="00AD6D94" w:rsidRPr="5A041715">
        <w:rPr>
          <w:rFonts w:cs="Arial"/>
        </w:rPr>
        <w:t>c</w:t>
      </w:r>
      <w:r w:rsidR="00634244" w:rsidRPr="5A041715">
        <w:rPr>
          <w:rFonts w:cs="Arial"/>
        </w:rPr>
        <w:t xml:space="preserve">onsultant post or </w:t>
      </w:r>
      <w:r w:rsidR="00AD6D94" w:rsidRPr="5A041715">
        <w:rPr>
          <w:rFonts w:cs="Arial"/>
        </w:rPr>
        <w:t>l</w:t>
      </w:r>
      <w:r w:rsidR="00634244" w:rsidRPr="5A041715">
        <w:rPr>
          <w:rFonts w:cs="Arial"/>
        </w:rPr>
        <w:t xml:space="preserve">ocum </w:t>
      </w:r>
      <w:r w:rsidR="00AD6D94" w:rsidRPr="5A041715">
        <w:rPr>
          <w:rFonts w:cs="Arial"/>
        </w:rPr>
        <w:t>c</w:t>
      </w:r>
      <w:r w:rsidR="00634244" w:rsidRPr="5A041715">
        <w:rPr>
          <w:rFonts w:cs="Arial"/>
        </w:rPr>
        <w:t xml:space="preserve">onsultant post </w:t>
      </w:r>
      <w:r w:rsidR="004F27D2" w:rsidRPr="5A041715">
        <w:rPr>
          <w:rFonts w:cs="Arial"/>
        </w:rPr>
        <w:t xml:space="preserve">which starts before the end of the </w:t>
      </w:r>
      <w:r w:rsidR="70D75DCA" w:rsidRPr="5A041715">
        <w:rPr>
          <w:rFonts w:cs="Arial"/>
        </w:rPr>
        <w:t>P</w:t>
      </w:r>
      <w:r w:rsidR="004F27D2" w:rsidRPr="5A041715">
        <w:rPr>
          <w:rFonts w:cs="Arial"/>
        </w:rPr>
        <w:t xml:space="preserve">eriod of </w:t>
      </w:r>
      <w:r w:rsidR="19E1C919" w:rsidRPr="5A041715">
        <w:rPr>
          <w:rFonts w:cs="Arial"/>
        </w:rPr>
        <w:t>G</w:t>
      </w:r>
      <w:r w:rsidR="004F27D2" w:rsidRPr="5A041715">
        <w:rPr>
          <w:rFonts w:cs="Arial"/>
        </w:rPr>
        <w:t xml:space="preserve">race, </w:t>
      </w:r>
      <w:r w:rsidR="00634244" w:rsidRPr="5A041715">
        <w:rPr>
          <w:rFonts w:cs="Arial"/>
        </w:rPr>
        <w:t>they must resign</w:t>
      </w:r>
      <w:r w:rsidR="00264876" w:rsidRPr="5A041715">
        <w:rPr>
          <w:rFonts w:cs="Arial"/>
        </w:rPr>
        <w:t xml:space="preserve"> </w:t>
      </w:r>
      <w:r w:rsidR="00634244" w:rsidRPr="5A041715">
        <w:rPr>
          <w:rFonts w:cs="Arial"/>
        </w:rPr>
        <w:t xml:space="preserve">from their training programme with effect either from the CCT date or following the appropriate period of notice (see Termination below for full details). In doing so </w:t>
      </w:r>
      <w:r w:rsidR="001E4AE1" w:rsidRPr="5A041715">
        <w:rPr>
          <w:rFonts w:cs="Arial"/>
        </w:rPr>
        <w:t>the</w:t>
      </w:r>
      <w:r w:rsidR="00634244" w:rsidRPr="5A041715">
        <w:rPr>
          <w:rFonts w:cs="Arial"/>
        </w:rPr>
        <w:t xml:space="preserve"> NTN is relinquished and the right to a </w:t>
      </w:r>
      <w:r w:rsidR="2B6D8377" w:rsidRPr="5A041715">
        <w:rPr>
          <w:rFonts w:cs="Arial"/>
        </w:rPr>
        <w:t>P</w:t>
      </w:r>
      <w:r w:rsidR="00634244" w:rsidRPr="5A041715">
        <w:rPr>
          <w:rFonts w:cs="Arial"/>
        </w:rPr>
        <w:t xml:space="preserve">eriod of </w:t>
      </w:r>
      <w:r w:rsidR="1280441E" w:rsidRPr="5A041715">
        <w:rPr>
          <w:rFonts w:cs="Arial"/>
        </w:rPr>
        <w:t>G</w:t>
      </w:r>
      <w:r w:rsidR="00634244" w:rsidRPr="5A041715">
        <w:rPr>
          <w:rFonts w:cs="Arial"/>
        </w:rPr>
        <w:t xml:space="preserve">race is given up; there is no option to return to training in that training programme. </w:t>
      </w:r>
    </w:p>
    <w:p w14:paraId="0D0A5E66" w14:textId="1462852B" w:rsidR="001E4AE1" w:rsidRPr="00127992" w:rsidRDefault="006C7C17" w:rsidP="5A041715">
      <w:pPr>
        <w:pStyle w:val="Heading1"/>
        <w:spacing w:before="240" w:after="360"/>
        <w:contextualSpacing/>
        <w:rPr>
          <w:rFonts w:cstheme="majorBidi"/>
          <w:b w:val="0"/>
          <w:bCs w:val="0"/>
          <w:color w:val="005EB8"/>
        </w:rPr>
      </w:pPr>
      <w:r w:rsidRPr="5A041715">
        <w:rPr>
          <w:rFonts w:cstheme="majorBidi"/>
          <w:b w:val="0"/>
          <w:bCs w:val="0"/>
          <w:color w:val="005EB8"/>
        </w:rPr>
        <w:t xml:space="preserve">2. </w:t>
      </w:r>
      <w:r w:rsidR="00634244" w:rsidRPr="5A041715">
        <w:rPr>
          <w:rFonts w:cstheme="majorBidi"/>
          <w:b w:val="0"/>
          <w:bCs w:val="0"/>
          <w:color w:val="005EB8"/>
        </w:rPr>
        <w:t xml:space="preserve">Length of Period of Grace </w:t>
      </w:r>
    </w:p>
    <w:p w14:paraId="26B7089A" w14:textId="4D307871" w:rsidR="00634244" w:rsidRPr="00F831EF" w:rsidRDefault="00634244" w:rsidP="71191A64">
      <w:pPr>
        <w:rPr>
          <w:rFonts w:cs="Arial"/>
        </w:rPr>
      </w:pPr>
      <w:r w:rsidRPr="5A041715">
        <w:rPr>
          <w:rFonts w:cs="Arial"/>
        </w:rPr>
        <w:t xml:space="preserve">The standard </w:t>
      </w:r>
      <w:r w:rsidR="732FE308" w:rsidRPr="5A041715">
        <w:rPr>
          <w:rFonts w:cs="Arial"/>
        </w:rPr>
        <w:t>P</w:t>
      </w:r>
      <w:r w:rsidRPr="5A041715">
        <w:rPr>
          <w:rFonts w:cs="Arial"/>
        </w:rPr>
        <w:t xml:space="preserve">eriod of </w:t>
      </w:r>
      <w:r w:rsidR="23E617A4" w:rsidRPr="5A041715">
        <w:rPr>
          <w:rFonts w:cs="Arial"/>
        </w:rPr>
        <w:t>G</w:t>
      </w:r>
      <w:r w:rsidRPr="5A041715">
        <w:rPr>
          <w:rFonts w:cs="Arial"/>
        </w:rPr>
        <w:t xml:space="preserve">race is six calendar months following the date of CCT/ or CCT via CESR (CP). There is no pro-rata modification for Less Than Full Time (LTFT) </w:t>
      </w:r>
      <w:r w:rsidR="00121A69" w:rsidRPr="5A041715">
        <w:rPr>
          <w:rFonts w:cs="Arial"/>
        </w:rPr>
        <w:t>trainees.</w:t>
      </w:r>
      <w:r w:rsidRPr="5A041715">
        <w:rPr>
          <w:rFonts w:cs="Arial"/>
        </w:rPr>
        <w:t xml:space="preserve"> </w:t>
      </w:r>
    </w:p>
    <w:p w14:paraId="42CBB5D2" w14:textId="77777777" w:rsidR="00412C6C" w:rsidRPr="00F831EF" w:rsidRDefault="00412C6C" w:rsidP="71191A64">
      <w:pPr>
        <w:rPr>
          <w:rFonts w:cs="Arial"/>
        </w:rPr>
      </w:pPr>
    </w:p>
    <w:p w14:paraId="4A037D33" w14:textId="21545EF6" w:rsidR="00634244" w:rsidRDefault="00634244" w:rsidP="71191A64">
      <w:pPr>
        <w:rPr>
          <w:rFonts w:cs="Arial"/>
        </w:rPr>
      </w:pPr>
      <w:r w:rsidRPr="5A041715">
        <w:rPr>
          <w:rFonts w:cs="Arial"/>
        </w:rPr>
        <w:t xml:space="preserve">In exceptional circumstances the Postgraduate Dean may agree to extend the </w:t>
      </w:r>
      <w:r w:rsidR="6750E948" w:rsidRPr="5A041715">
        <w:rPr>
          <w:rFonts w:cs="Arial"/>
        </w:rPr>
        <w:t>P</w:t>
      </w:r>
      <w:r w:rsidRPr="5A041715">
        <w:rPr>
          <w:rFonts w:cs="Arial"/>
        </w:rPr>
        <w:t xml:space="preserve">eriod of </w:t>
      </w:r>
      <w:r w:rsidR="0D485446" w:rsidRPr="5A041715">
        <w:rPr>
          <w:rFonts w:cs="Arial"/>
        </w:rPr>
        <w:t>G</w:t>
      </w:r>
      <w:r w:rsidRPr="5A041715">
        <w:rPr>
          <w:rFonts w:cs="Arial"/>
        </w:rPr>
        <w:t xml:space="preserve">race up to a maximum total of twelve calendar months. To do this, the </w:t>
      </w:r>
      <w:r w:rsidR="00121A69" w:rsidRPr="5A041715">
        <w:rPr>
          <w:rFonts w:cs="Arial"/>
        </w:rPr>
        <w:t>trainee</w:t>
      </w:r>
      <w:r w:rsidRPr="5A041715">
        <w:rPr>
          <w:rFonts w:cs="Arial"/>
        </w:rPr>
        <w:t xml:space="preserve"> must gain the support </w:t>
      </w:r>
      <w:r w:rsidRPr="5A041715">
        <w:rPr>
          <w:rFonts w:cs="Arial"/>
        </w:rPr>
        <w:lastRenderedPageBreak/>
        <w:t xml:space="preserve">of their Training Programme Director </w:t>
      </w:r>
      <w:r w:rsidR="00AD6D94" w:rsidRPr="5A041715">
        <w:rPr>
          <w:rFonts w:cs="Arial"/>
        </w:rPr>
        <w:t xml:space="preserve">(TPD) </w:t>
      </w:r>
      <w:r w:rsidRPr="5A041715">
        <w:rPr>
          <w:rFonts w:cs="Arial"/>
        </w:rPr>
        <w:t xml:space="preserve">and then write to the Postgraduate Dean within the normal timeframe for requesting a </w:t>
      </w:r>
      <w:r w:rsidR="1C02D4EF" w:rsidRPr="5A041715">
        <w:rPr>
          <w:rFonts w:cs="Arial"/>
        </w:rPr>
        <w:t>P</w:t>
      </w:r>
      <w:r w:rsidRPr="5A041715">
        <w:rPr>
          <w:rFonts w:cs="Arial"/>
        </w:rPr>
        <w:t xml:space="preserve">eriod of </w:t>
      </w:r>
      <w:r w:rsidR="20FBD2EE" w:rsidRPr="5A041715">
        <w:rPr>
          <w:rFonts w:cs="Arial"/>
        </w:rPr>
        <w:t>G</w:t>
      </w:r>
      <w:r w:rsidRPr="5A041715">
        <w:rPr>
          <w:rFonts w:cs="Arial"/>
        </w:rPr>
        <w:t xml:space="preserve">race (see below). </w:t>
      </w:r>
    </w:p>
    <w:p w14:paraId="700A577F" w14:textId="77777777" w:rsidR="00AD6D94" w:rsidRPr="00AD6D94" w:rsidRDefault="00AD6D94" w:rsidP="71191A64">
      <w:pPr>
        <w:rPr>
          <w:rFonts w:cs="Arial"/>
        </w:rPr>
      </w:pPr>
    </w:p>
    <w:p w14:paraId="59EA41B1" w14:textId="7DE704C9" w:rsidR="71191A64" w:rsidRDefault="71191A64" w:rsidP="71191A64"/>
    <w:p w14:paraId="0309EE29" w14:textId="34216E65" w:rsidR="00AD6D94" w:rsidRPr="00127992" w:rsidRDefault="00127992" w:rsidP="00127992">
      <w:pPr>
        <w:pStyle w:val="Heading1"/>
        <w:spacing w:before="240" w:after="360"/>
        <w:contextualSpacing/>
        <w:rPr>
          <w:rFonts w:cstheme="majorBidi"/>
          <w:b w:val="0"/>
          <w:bCs w:val="0"/>
          <w:color w:val="005EB8"/>
          <w:szCs w:val="24"/>
        </w:rPr>
      </w:pPr>
      <w:r>
        <w:rPr>
          <w:rFonts w:cstheme="majorBidi"/>
          <w:b w:val="0"/>
          <w:bCs w:val="0"/>
          <w:color w:val="005EB8"/>
          <w:szCs w:val="24"/>
        </w:rPr>
        <w:t xml:space="preserve">3. </w:t>
      </w:r>
      <w:r w:rsidR="00634244" w:rsidRPr="00127992">
        <w:rPr>
          <w:rFonts w:cstheme="majorBidi"/>
          <w:b w:val="0"/>
          <w:bCs w:val="0"/>
          <w:color w:val="005EB8"/>
          <w:szCs w:val="24"/>
        </w:rPr>
        <w:t xml:space="preserve">Requesting a Period of Grace </w:t>
      </w:r>
    </w:p>
    <w:p w14:paraId="19E59F41" w14:textId="16B21CA3" w:rsidR="00634244" w:rsidRPr="00F831EF" w:rsidRDefault="00634244" w:rsidP="5A041715">
      <w:pPr>
        <w:rPr>
          <w:rFonts w:cs="Arial"/>
          <w:i/>
          <w:iCs/>
        </w:rPr>
      </w:pPr>
      <w:r w:rsidRPr="5A041715">
        <w:rPr>
          <w:rFonts w:cs="Arial"/>
        </w:rPr>
        <w:t xml:space="preserve">A suggested form can be found at </w:t>
      </w:r>
      <w:r w:rsidRPr="5A041715">
        <w:rPr>
          <w:rFonts w:cs="Arial"/>
          <w:b/>
          <w:bCs/>
        </w:rPr>
        <w:t>Appendix 1: Period of Grace Intent Form</w:t>
      </w:r>
      <w:r w:rsidRPr="5A041715">
        <w:rPr>
          <w:rFonts w:cs="Arial"/>
        </w:rPr>
        <w:t xml:space="preserve">.  </w:t>
      </w:r>
    </w:p>
    <w:p w14:paraId="0D310C68" w14:textId="7D8C448A" w:rsidR="00634244" w:rsidRPr="00F831EF" w:rsidRDefault="00634244" w:rsidP="00125055">
      <w:pPr>
        <w:rPr>
          <w:rFonts w:cs="Arial"/>
        </w:rPr>
      </w:pPr>
    </w:p>
    <w:p w14:paraId="2B7B40F5" w14:textId="635604E3" w:rsidR="00634244" w:rsidRPr="00F831EF" w:rsidRDefault="005D0E38" w:rsidP="00125055">
      <w:pPr>
        <w:rPr>
          <w:rFonts w:cs="Arial"/>
        </w:rPr>
      </w:pPr>
      <w:r w:rsidRPr="5A041715">
        <w:rPr>
          <w:rFonts w:cs="Arial"/>
        </w:rPr>
        <w:t>Trainees</w:t>
      </w:r>
      <w:r w:rsidR="00634244" w:rsidRPr="5A041715">
        <w:rPr>
          <w:rFonts w:cs="Arial"/>
        </w:rPr>
        <w:t xml:space="preserve"> are required to notify their Postgraduate </w:t>
      </w:r>
      <w:r w:rsidR="00AD6D94" w:rsidRPr="5A041715">
        <w:rPr>
          <w:rFonts w:cs="Arial"/>
        </w:rPr>
        <w:t>D</w:t>
      </w:r>
      <w:r w:rsidR="00634244" w:rsidRPr="5A041715">
        <w:rPr>
          <w:rFonts w:cs="Arial"/>
        </w:rPr>
        <w:t xml:space="preserve">ean or nominated deputy of their </w:t>
      </w:r>
      <w:r w:rsidRPr="5A041715">
        <w:rPr>
          <w:rFonts w:cs="Arial"/>
        </w:rPr>
        <w:t xml:space="preserve">intentions regarding taking </w:t>
      </w:r>
      <w:r w:rsidR="00634244" w:rsidRPr="5A041715">
        <w:rPr>
          <w:rFonts w:cs="Arial"/>
        </w:rPr>
        <w:t xml:space="preserve">up a </w:t>
      </w:r>
      <w:r w:rsidR="6F635A2D" w:rsidRPr="5A041715">
        <w:rPr>
          <w:rFonts w:cs="Arial"/>
        </w:rPr>
        <w:t>P</w:t>
      </w:r>
      <w:r w:rsidR="00634244" w:rsidRPr="5A041715">
        <w:rPr>
          <w:rFonts w:cs="Arial"/>
        </w:rPr>
        <w:t xml:space="preserve">eriod of </w:t>
      </w:r>
      <w:r w:rsidR="310C3715" w:rsidRPr="5A041715">
        <w:rPr>
          <w:rFonts w:cs="Arial"/>
        </w:rPr>
        <w:t>G</w:t>
      </w:r>
      <w:r w:rsidR="00634244" w:rsidRPr="5A041715">
        <w:rPr>
          <w:rFonts w:cs="Arial"/>
        </w:rPr>
        <w:t xml:space="preserve">race </w:t>
      </w:r>
      <w:r w:rsidRPr="5A041715">
        <w:rPr>
          <w:rFonts w:cs="Arial"/>
        </w:rPr>
        <w:t xml:space="preserve">placement </w:t>
      </w:r>
      <w:r w:rsidR="003F7CBC" w:rsidRPr="5A041715">
        <w:rPr>
          <w:rFonts w:cs="Arial"/>
        </w:rPr>
        <w:t>ideally</w:t>
      </w:r>
      <w:r w:rsidR="00634244" w:rsidRPr="5A041715">
        <w:rPr>
          <w:rFonts w:cs="Arial"/>
        </w:rPr>
        <w:t xml:space="preserve"> 6 months, but a minimum of 12 weeks prior, to the date of CCT/ or CCT via CESR/(CP). If a notification is submitted within this timeframe, then the doctor should usually be guaranteed a </w:t>
      </w:r>
      <w:r w:rsidR="38267581" w:rsidRPr="5A041715">
        <w:rPr>
          <w:rFonts w:cs="Arial"/>
        </w:rPr>
        <w:t>P</w:t>
      </w:r>
      <w:r w:rsidR="00634244" w:rsidRPr="5A041715">
        <w:rPr>
          <w:rFonts w:cs="Arial"/>
        </w:rPr>
        <w:t xml:space="preserve">eriod of </w:t>
      </w:r>
      <w:r w:rsidR="06D0F04F" w:rsidRPr="5A041715">
        <w:rPr>
          <w:rFonts w:cs="Arial"/>
        </w:rPr>
        <w:t>G</w:t>
      </w:r>
      <w:r w:rsidR="00634244" w:rsidRPr="5A041715">
        <w:rPr>
          <w:rFonts w:cs="Arial"/>
        </w:rPr>
        <w:t xml:space="preserve">race post. </w:t>
      </w:r>
    </w:p>
    <w:p w14:paraId="0426BF55" w14:textId="78D6C786" w:rsidR="00634244" w:rsidRPr="00F831EF" w:rsidRDefault="00634244" w:rsidP="00125055">
      <w:pPr>
        <w:rPr>
          <w:rFonts w:cs="Arial"/>
        </w:rPr>
      </w:pPr>
    </w:p>
    <w:p w14:paraId="3483C2D3" w14:textId="2BF4989E" w:rsidR="00634244" w:rsidRPr="00F831EF" w:rsidRDefault="00634244" w:rsidP="00125055">
      <w:pPr>
        <w:rPr>
          <w:rFonts w:cs="Arial"/>
        </w:rPr>
      </w:pPr>
      <w:r w:rsidRPr="5A041715">
        <w:rPr>
          <w:rFonts w:cs="Arial"/>
        </w:rPr>
        <w:t>If the request is not submitted by the required deadline</w:t>
      </w:r>
      <w:r w:rsidR="00AD6D94" w:rsidRPr="5A041715">
        <w:rPr>
          <w:rFonts w:cs="Arial"/>
        </w:rPr>
        <w:t>,</w:t>
      </w:r>
      <w:r w:rsidRPr="5A041715">
        <w:rPr>
          <w:rFonts w:cs="Arial"/>
        </w:rPr>
        <w:t xml:space="preserve"> the </w:t>
      </w:r>
      <w:r w:rsidR="00AD6D94" w:rsidRPr="5A041715">
        <w:rPr>
          <w:rFonts w:cs="Arial"/>
        </w:rPr>
        <w:t>TPD</w:t>
      </w:r>
      <w:r w:rsidRPr="5A041715">
        <w:rPr>
          <w:rFonts w:cs="Arial"/>
        </w:rPr>
        <w:t xml:space="preserve"> may not be able to arrange a </w:t>
      </w:r>
      <w:r w:rsidR="57078D91" w:rsidRPr="5A041715">
        <w:rPr>
          <w:rFonts w:cs="Arial"/>
        </w:rPr>
        <w:t>P</w:t>
      </w:r>
      <w:r w:rsidRPr="5A041715">
        <w:rPr>
          <w:rFonts w:cs="Arial"/>
        </w:rPr>
        <w:t xml:space="preserve">eriod of </w:t>
      </w:r>
      <w:r w:rsidR="22CF5FB2" w:rsidRPr="5A041715">
        <w:rPr>
          <w:rFonts w:cs="Arial"/>
        </w:rPr>
        <w:t>G</w:t>
      </w:r>
      <w:r w:rsidRPr="5A041715">
        <w:rPr>
          <w:rFonts w:cs="Arial"/>
        </w:rPr>
        <w:t xml:space="preserve">race for the </w:t>
      </w:r>
      <w:r w:rsidR="00121A69" w:rsidRPr="5A041715">
        <w:rPr>
          <w:rFonts w:cs="Arial"/>
        </w:rPr>
        <w:t>trainee</w:t>
      </w:r>
      <w:r w:rsidRPr="5A041715">
        <w:rPr>
          <w:rFonts w:cs="Arial"/>
        </w:rPr>
        <w:t xml:space="preserve">. In such circumstances, the trainee should include a covering letter with their </w:t>
      </w:r>
      <w:r w:rsidR="03C6AC45" w:rsidRPr="5A041715">
        <w:rPr>
          <w:rFonts w:cs="Arial"/>
        </w:rPr>
        <w:t>POG</w:t>
      </w:r>
      <w:r w:rsidRPr="5A041715">
        <w:rPr>
          <w:rFonts w:cs="Arial"/>
        </w:rPr>
        <w:t xml:space="preserve"> form detailing why sufficient notice was not able to be provided. </w:t>
      </w:r>
    </w:p>
    <w:p w14:paraId="212C216A" w14:textId="77C269C1" w:rsidR="00634244" w:rsidRPr="00F831EF" w:rsidRDefault="00634244" w:rsidP="00125055">
      <w:pPr>
        <w:rPr>
          <w:rFonts w:cs="Arial"/>
        </w:rPr>
      </w:pPr>
    </w:p>
    <w:p w14:paraId="514512B9" w14:textId="6D0774E1" w:rsidR="00AD6D94" w:rsidRPr="00F831EF" w:rsidRDefault="1A9C2403" w:rsidP="00125055">
      <w:pPr>
        <w:rPr>
          <w:rFonts w:eastAsia="Arial" w:cs="Arial"/>
        </w:rPr>
      </w:pPr>
      <w:r w:rsidRPr="5A041715">
        <w:rPr>
          <w:rFonts w:cs="Arial"/>
        </w:rPr>
        <w:t xml:space="preserve">Trainees should have a discussion with their TPD to support their decision as to whether or not a </w:t>
      </w:r>
      <w:r w:rsidR="3A711E56" w:rsidRPr="5A041715">
        <w:rPr>
          <w:rFonts w:cs="Arial"/>
        </w:rPr>
        <w:t>P</w:t>
      </w:r>
      <w:r w:rsidRPr="5A041715">
        <w:rPr>
          <w:rFonts w:cs="Arial"/>
        </w:rPr>
        <w:t xml:space="preserve">eriod of </w:t>
      </w:r>
      <w:r w:rsidR="0B6C054A" w:rsidRPr="5A041715">
        <w:rPr>
          <w:rFonts w:cs="Arial"/>
        </w:rPr>
        <w:t>G</w:t>
      </w:r>
      <w:r w:rsidRPr="5A041715">
        <w:rPr>
          <w:rFonts w:cs="Arial"/>
        </w:rPr>
        <w:t xml:space="preserve">race will be required.  </w:t>
      </w:r>
      <w:r w:rsidR="1F4DC4CB" w:rsidRPr="5A041715">
        <w:rPr>
          <w:rFonts w:eastAsia="Arial" w:cs="Arial"/>
        </w:rPr>
        <w:t xml:space="preserve">Whilst it is recognised that the </w:t>
      </w:r>
      <w:r w:rsidR="45CFD297" w:rsidRPr="5A041715">
        <w:rPr>
          <w:rFonts w:eastAsia="Arial" w:cs="Arial"/>
        </w:rPr>
        <w:t>P</w:t>
      </w:r>
      <w:r w:rsidR="1F4DC4CB" w:rsidRPr="5A041715">
        <w:rPr>
          <w:rFonts w:eastAsia="Arial" w:cs="Arial"/>
        </w:rPr>
        <w:t xml:space="preserve">eriod of </w:t>
      </w:r>
      <w:r w:rsidR="1B426C6E" w:rsidRPr="5A041715">
        <w:rPr>
          <w:rFonts w:eastAsia="Arial" w:cs="Arial"/>
        </w:rPr>
        <w:t>G</w:t>
      </w:r>
      <w:r w:rsidR="1F4DC4CB" w:rsidRPr="5A041715">
        <w:rPr>
          <w:rFonts w:eastAsia="Arial" w:cs="Arial"/>
        </w:rPr>
        <w:t xml:space="preserve">race is set within the 2016 contract and specialty trainees are entitled to a POG, adequate notice and planning is required to assess capacity and availability of suitable posts. </w:t>
      </w:r>
      <w:r w:rsidR="00622531" w:rsidRPr="5A041715">
        <w:rPr>
          <w:rFonts w:eastAsia="Arial" w:cs="Arial"/>
        </w:rPr>
        <w:t>Therefore,</w:t>
      </w:r>
      <w:r w:rsidR="1F4DC4CB" w:rsidRPr="5A041715">
        <w:rPr>
          <w:rFonts w:eastAsia="Arial" w:cs="Arial"/>
        </w:rPr>
        <w:t xml:space="preserve"> it is essential that doctors engage in discussion with the TPD in a timely way. </w:t>
      </w:r>
    </w:p>
    <w:p w14:paraId="0A5B206B" w14:textId="006FB85F" w:rsidR="00AD6D94" w:rsidRPr="00634244" w:rsidRDefault="00AD6D94" w:rsidP="1F4DC4CB">
      <w:pPr>
        <w:jc w:val="both"/>
        <w:rPr>
          <w:rFonts w:cs="Arial"/>
        </w:rPr>
      </w:pPr>
    </w:p>
    <w:p w14:paraId="360E4185" w14:textId="67FBCCAC" w:rsidR="71191A64" w:rsidRDefault="71191A64" w:rsidP="71191A64"/>
    <w:p w14:paraId="43E0DCD2" w14:textId="73E965F9" w:rsidR="00AD6D94" w:rsidRPr="00127992" w:rsidRDefault="00127992" w:rsidP="00127992">
      <w:pPr>
        <w:pStyle w:val="Heading1"/>
        <w:spacing w:before="240" w:after="360"/>
        <w:contextualSpacing/>
        <w:rPr>
          <w:rFonts w:cstheme="majorBidi"/>
          <w:b w:val="0"/>
          <w:bCs w:val="0"/>
          <w:color w:val="005EB8"/>
          <w:szCs w:val="24"/>
        </w:rPr>
      </w:pPr>
      <w:r>
        <w:rPr>
          <w:rFonts w:cstheme="majorBidi"/>
          <w:b w:val="0"/>
          <w:bCs w:val="0"/>
          <w:color w:val="005EB8"/>
          <w:szCs w:val="24"/>
        </w:rPr>
        <w:t xml:space="preserve">4. </w:t>
      </w:r>
      <w:r w:rsidR="00634244" w:rsidRPr="00127992">
        <w:rPr>
          <w:rFonts w:cstheme="majorBidi"/>
          <w:b w:val="0"/>
          <w:bCs w:val="0"/>
          <w:color w:val="005EB8"/>
          <w:szCs w:val="24"/>
        </w:rPr>
        <w:t xml:space="preserve">Confirmation of a Period of Grace </w:t>
      </w:r>
    </w:p>
    <w:p w14:paraId="76718F74" w14:textId="770E5DA2" w:rsidR="00634244" w:rsidRPr="00F831EF" w:rsidRDefault="001A306F" w:rsidP="71191A64">
      <w:pPr>
        <w:rPr>
          <w:rFonts w:cs="Arial"/>
        </w:rPr>
      </w:pPr>
      <w:r w:rsidRPr="1F4DC4CB">
        <w:rPr>
          <w:rFonts w:cs="Arial"/>
        </w:rPr>
        <w:t>Trainees</w:t>
      </w:r>
      <w:r w:rsidR="00634244" w:rsidRPr="1F4DC4CB">
        <w:rPr>
          <w:rFonts w:cs="Arial"/>
        </w:rPr>
        <w:t xml:space="preserve"> will </w:t>
      </w:r>
      <w:r w:rsidR="00422278" w:rsidRPr="1F4DC4CB">
        <w:rPr>
          <w:rFonts w:cs="Arial"/>
        </w:rPr>
        <w:t xml:space="preserve">usually </w:t>
      </w:r>
      <w:r w:rsidR="00634244" w:rsidRPr="1F4DC4CB">
        <w:rPr>
          <w:rFonts w:cs="Arial"/>
        </w:rPr>
        <w:t xml:space="preserve">have two weeks in which to accept or decline an offered POG post. Once the </w:t>
      </w:r>
      <w:r w:rsidR="00634244" w:rsidRPr="00F831EF">
        <w:rPr>
          <w:rFonts w:cs="Arial"/>
        </w:rPr>
        <w:t xml:space="preserve">post has been accepted the </w:t>
      </w:r>
      <w:r w:rsidR="00422278" w:rsidRPr="00F831EF">
        <w:rPr>
          <w:rFonts w:cs="Arial"/>
        </w:rPr>
        <w:t>trainee</w:t>
      </w:r>
      <w:r w:rsidR="00AD6D94" w:rsidRPr="00F831EF">
        <w:rPr>
          <w:rFonts w:cs="Arial"/>
        </w:rPr>
        <w:t xml:space="preserve"> </w:t>
      </w:r>
      <w:r w:rsidR="00634244" w:rsidRPr="00F831EF">
        <w:rPr>
          <w:rFonts w:cs="Arial"/>
        </w:rPr>
        <w:t>is</w:t>
      </w:r>
      <w:r w:rsidR="00995CB4" w:rsidRPr="00F831EF">
        <w:rPr>
          <w:rFonts w:cs="Arial"/>
        </w:rPr>
        <w:t xml:space="preserve"> usually</w:t>
      </w:r>
      <w:r w:rsidR="00634244" w:rsidRPr="00F831EF">
        <w:rPr>
          <w:rFonts w:cs="Arial"/>
        </w:rPr>
        <w:t xml:space="preserve"> </w:t>
      </w:r>
      <w:r w:rsidR="1D3711C4" w:rsidRPr="00F831EF">
        <w:rPr>
          <w:rFonts w:cs="Arial"/>
        </w:rPr>
        <w:t>required</w:t>
      </w:r>
      <w:r w:rsidR="00634244" w:rsidRPr="00F831EF">
        <w:rPr>
          <w:rFonts w:cs="Arial"/>
        </w:rPr>
        <w:t xml:space="preserve"> to work from the expected CCT/or CCT via CESR(CP) date to the end of the agreed timeframe or to work a normal notice period commencing from the expected </w:t>
      </w:r>
      <w:r w:rsidR="00995CB4" w:rsidRPr="00F831EF">
        <w:rPr>
          <w:rFonts w:cs="Arial"/>
        </w:rPr>
        <w:t>resignation letter</w:t>
      </w:r>
      <w:r w:rsidR="00634244" w:rsidRPr="00F831EF">
        <w:rPr>
          <w:rFonts w:cs="Arial"/>
        </w:rPr>
        <w:t xml:space="preserve"> date if opting to leave early. </w:t>
      </w:r>
    </w:p>
    <w:p w14:paraId="5C7A81E7" w14:textId="77777777" w:rsidR="00AD6D94" w:rsidRPr="00634244" w:rsidRDefault="00AD6D94" w:rsidP="71191A64">
      <w:pPr>
        <w:rPr>
          <w:rFonts w:cs="Arial"/>
        </w:rPr>
      </w:pPr>
    </w:p>
    <w:p w14:paraId="7D994F58" w14:textId="74D2D121" w:rsidR="00634244" w:rsidRPr="00634244" w:rsidRDefault="00634244" w:rsidP="71191A64">
      <w:pPr>
        <w:rPr>
          <w:rFonts w:cs="Arial"/>
        </w:rPr>
      </w:pPr>
      <w:r w:rsidRPr="5A041715">
        <w:rPr>
          <w:rFonts w:cs="Arial"/>
        </w:rPr>
        <w:t>If the offer of the post is declined</w:t>
      </w:r>
      <w:r w:rsidR="27D7D1AB" w:rsidRPr="5A041715">
        <w:rPr>
          <w:rFonts w:cs="Arial"/>
        </w:rPr>
        <w:t>,</w:t>
      </w:r>
      <w:r w:rsidRPr="5A041715">
        <w:rPr>
          <w:rFonts w:cs="Arial"/>
        </w:rPr>
        <w:t xml:space="preserve"> the </w:t>
      </w:r>
      <w:r w:rsidR="00EB71B1" w:rsidRPr="5A041715">
        <w:rPr>
          <w:rFonts w:cs="Arial"/>
        </w:rPr>
        <w:t>individual</w:t>
      </w:r>
      <w:r w:rsidR="00AD6D94" w:rsidRPr="5A041715">
        <w:rPr>
          <w:rFonts w:cs="Arial"/>
        </w:rPr>
        <w:t xml:space="preserve"> </w:t>
      </w:r>
      <w:r w:rsidRPr="5A041715">
        <w:rPr>
          <w:rFonts w:cs="Arial"/>
        </w:rPr>
        <w:t xml:space="preserve">will relinquish their NTN and the right to a POG is given up; there is no option to return to training in that training programme. </w:t>
      </w:r>
      <w:r w:rsidR="00522021" w:rsidRPr="5A041715">
        <w:rPr>
          <w:rFonts w:cs="Arial"/>
        </w:rPr>
        <w:t>If the trainee gets an Outcome 3 at ARCP, their Period of Grace rights are reset.</w:t>
      </w:r>
    </w:p>
    <w:p w14:paraId="7D85ED0F" w14:textId="77777777" w:rsidR="00634244" w:rsidRPr="00634244" w:rsidRDefault="00634244" w:rsidP="71191A64">
      <w:pPr>
        <w:rPr>
          <w:rFonts w:cs="Arial"/>
          <w:b/>
          <w:bCs/>
          <w:u w:val="single"/>
        </w:rPr>
      </w:pPr>
    </w:p>
    <w:p w14:paraId="15E44FAA" w14:textId="6F7A9D7D" w:rsidR="00634244" w:rsidRPr="00F831EF" w:rsidRDefault="00634244" w:rsidP="71191A64">
      <w:pPr>
        <w:rPr>
          <w:rFonts w:cs="Arial"/>
        </w:rPr>
      </w:pPr>
      <w:r w:rsidRPr="5A041715">
        <w:rPr>
          <w:rFonts w:cs="Arial"/>
        </w:rPr>
        <w:t xml:space="preserve">A </w:t>
      </w:r>
      <w:r w:rsidR="00EB71B1" w:rsidRPr="5A041715">
        <w:rPr>
          <w:rFonts w:cs="Arial"/>
        </w:rPr>
        <w:t xml:space="preserve">trainee </w:t>
      </w:r>
      <w:r w:rsidRPr="5A041715">
        <w:rPr>
          <w:rFonts w:cs="Arial"/>
        </w:rPr>
        <w:t xml:space="preserve">can only commence a </w:t>
      </w:r>
      <w:r w:rsidR="28047412" w:rsidRPr="5A041715">
        <w:rPr>
          <w:rFonts w:cs="Arial"/>
        </w:rPr>
        <w:t>P</w:t>
      </w:r>
      <w:r w:rsidRPr="5A041715">
        <w:rPr>
          <w:rFonts w:cs="Arial"/>
        </w:rPr>
        <w:t xml:space="preserve">eriod of </w:t>
      </w:r>
      <w:r w:rsidR="32984A39" w:rsidRPr="5A041715">
        <w:rPr>
          <w:rFonts w:cs="Arial"/>
        </w:rPr>
        <w:t>G</w:t>
      </w:r>
      <w:r w:rsidRPr="5A041715">
        <w:rPr>
          <w:rFonts w:cs="Arial"/>
        </w:rPr>
        <w:t xml:space="preserve">race post if they have been recommended to CCT/ or CCT via CESR (CP) by receiving an ARCP outcome 6 signifying the satisfactory completion of either Higher Specialty Training or Run </w:t>
      </w:r>
      <w:r w:rsidR="00AD6D94" w:rsidRPr="5A041715">
        <w:rPr>
          <w:rFonts w:cs="Arial"/>
        </w:rPr>
        <w:t>T</w:t>
      </w:r>
      <w:r w:rsidRPr="5A041715">
        <w:rPr>
          <w:rFonts w:cs="Arial"/>
        </w:rPr>
        <w:t xml:space="preserve">hrough Training. </w:t>
      </w:r>
    </w:p>
    <w:p w14:paraId="08E1AF3F" w14:textId="77777777" w:rsidR="00AD6D94" w:rsidRPr="00634244" w:rsidRDefault="00AD6D94" w:rsidP="71191A64">
      <w:pPr>
        <w:rPr>
          <w:rFonts w:cs="Arial"/>
        </w:rPr>
      </w:pPr>
    </w:p>
    <w:p w14:paraId="72D0DFEE" w14:textId="4BE3730B" w:rsidR="00634244" w:rsidRDefault="00634244" w:rsidP="71191A64">
      <w:pPr>
        <w:rPr>
          <w:rFonts w:cs="Arial"/>
        </w:rPr>
      </w:pPr>
      <w:r w:rsidRPr="5A041715">
        <w:rPr>
          <w:rFonts w:cs="Arial"/>
        </w:rPr>
        <w:t xml:space="preserve">It is not possible to complete a </w:t>
      </w:r>
      <w:r w:rsidR="0963781D" w:rsidRPr="5A041715">
        <w:rPr>
          <w:rFonts w:cs="Arial"/>
        </w:rPr>
        <w:t>P</w:t>
      </w:r>
      <w:r w:rsidRPr="5A041715">
        <w:rPr>
          <w:rFonts w:cs="Arial"/>
        </w:rPr>
        <w:t xml:space="preserve">eriod of </w:t>
      </w:r>
      <w:r w:rsidR="523F89EA" w:rsidRPr="5A041715">
        <w:rPr>
          <w:rFonts w:cs="Arial"/>
        </w:rPr>
        <w:t>G</w:t>
      </w:r>
      <w:r w:rsidRPr="5A041715">
        <w:rPr>
          <w:rFonts w:cs="Arial"/>
        </w:rPr>
        <w:t xml:space="preserve">race at the end of a Core Training Programme to bridge any gaps between commencement of a Higher Specialty Training Programme. </w:t>
      </w:r>
    </w:p>
    <w:p w14:paraId="61D262A1" w14:textId="77777777" w:rsidR="00AD6D94" w:rsidRPr="00634244" w:rsidRDefault="00AD6D94" w:rsidP="71191A64">
      <w:pPr>
        <w:rPr>
          <w:rFonts w:cs="Arial"/>
        </w:rPr>
      </w:pPr>
    </w:p>
    <w:p w14:paraId="522BAFFC" w14:textId="3202B027" w:rsidR="00634244" w:rsidRPr="00F831EF" w:rsidRDefault="00634244" w:rsidP="71191A64">
      <w:pPr>
        <w:rPr>
          <w:rFonts w:cs="Arial"/>
        </w:rPr>
      </w:pPr>
      <w:r w:rsidRPr="5A041715">
        <w:rPr>
          <w:rFonts w:cs="Arial"/>
        </w:rPr>
        <w:t xml:space="preserve">The </w:t>
      </w:r>
      <w:r w:rsidR="6C719724" w:rsidRPr="5A041715">
        <w:rPr>
          <w:rFonts w:cs="Arial"/>
        </w:rPr>
        <w:t>P</w:t>
      </w:r>
      <w:r w:rsidRPr="5A041715">
        <w:rPr>
          <w:rFonts w:cs="Arial"/>
        </w:rPr>
        <w:t xml:space="preserve">eriod of </w:t>
      </w:r>
      <w:r w:rsidR="28EBF162" w:rsidRPr="5A041715">
        <w:rPr>
          <w:rFonts w:cs="Arial"/>
        </w:rPr>
        <w:t>G</w:t>
      </w:r>
      <w:r w:rsidRPr="5A041715">
        <w:rPr>
          <w:rFonts w:cs="Arial"/>
        </w:rPr>
        <w:t xml:space="preserve">race commences from the date of the recommendation for CCT/or CCT via CESR (CP) indicated on the ARCP Outcome 6 form. The </w:t>
      </w:r>
      <w:r w:rsidR="6955FCC7" w:rsidRPr="5A041715">
        <w:rPr>
          <w:rFonts w:cs="Arial"/>
        </w:rPr>
        <w:t>POG</w:t>
      </w:r>
      <w:r w:rsidRPr="5A041715">
        <w:rPr>
          <w:rFonts w:cs="Arial"/>
        </w:rPr>
        <w:t xml:space="preserve"> is time-limited and can only be taken up by a </w:t>
      </w:r>
      <w:r w:rsidR="00121A69" w:rsidRPr="5A041715">
        <w:rPr>
          <w:rFonts w:cs="Arial"/>
        </w:rPr>
        <w:t>trainee</w:t>
      </w:r>
      <w:r w:rsidRPr="5A041715">
        <w:rPr>
          <w:rFonts w:cs="Arial"/>
        </w:rPr>
        <w:t xml:space="preserve"> who is yet to relinquish their NTN. </w:t>
      </w:r>
    </w:p>
    <w:p w14:paraId="73D6F683" w14:textId="59CF262F" w:rsidR="71191A64" w:rsidRDefault="71191A64" w:rsidP="71191A64"/>
    <w:p w14:paraId="3B79D5ED" w14:textId="77777777" w:rsidR="00AD6D94" w:rsidRPr="00634244" w:rsidRDefault="00AD6D94" w:rsidP="71191A64">
      <w:pPr>
        <w:rPr>
          <w:rFonts w:cs="Arial"/>
        </w:rPr>
      </w:pPr>
    </w:p>
    <w:p w14:paraId="18CDA5CE" w14:textId="51A51EE6" w:rsidR="00AD6D94" w:rsidRPr="00127992" w:rsidRDefault="00127992" w:rsidP="00127992">
      <w:pPr>
        <w:pStyle w:val="Heading1"/>
        <w:spacing w:before="240" w:after="360"/>
        <w:contextualSpacing/>
        <w:rPr>
          <w:rFonts w:cstheme="majorBidi"/>
          <w:b w:val="0"/>
          <w:bCs w:val="0"/>
          <w:color w:val="005EB8"/>
          <w:szCs w:val="24"/>
        </w:rPr>
      </w:pPr>
      <w:r>
        <w:rPr>
          <w:rFonts w:cstheme="majorBidi"/>
          <w:b w:val="0"/>
          <w:bCs w:val="0"/>
          <w:color w:val="005EB8"/>
          <w:szCs w:val="24"/>
        </w:rPr>
        <w:lastRenderedPageBreak/>
        <w:t xml:space="preserve">5. </w:t>
      </w:r>
      <w:r w:rsidR="00634244" w:rsidRPr="00127992">
        <w:rPr>
          <w:rFonts w:cstheme="majorBidi"/>
          <w:b w:val="0"/>
          <w:bCs w:val="0"/>
          <w:color w:val="005EB8"/>
          <w:szCs w:val="24"/>
        </w:rPr>
        <w:t xml:space="preserve">Statutory Leave during the Period of Grace </w:t>
      </w:r>
    </w:p>
    <w:p w14:paraId="673F32F6" w14:textId="0891CE3A" w:rsidR="71191A64" w:rsidRDefault="00634244" w:rsidP="00125055">
      <w:pPr>
        <w:rPr>
          <w:rFonts w:cs="Arial"/>
        </w:rPr>
      </w:pPr>
      <w:r w:rsidRPr="5A041715">
        <w:rPr>
          <w:rFonts w:cs="Arial"/>
        </w:rPr>
        <w:t xml:space="preserve">If a doctor takes statutory leave during the </w:t>
      </w:r>
      <w:r w:rsidR="1881922D" w:rsidRPr="5A041715">
        <w:rPr>
          <w:rFonts w:cs="Arial"/>
        </w:rPr>
        <w:t>POG</w:t>
      </w:r>
      <w:r w:rsidRPr="5A041715">
        <w:rPr>
          <w:rFonts w:cs="Arial"/>
        </w:rPr>
        <w:t xml:space="preserve">, the period is suspended on the date the statutory leave starts. </w:t>
      </w:r>
      <w:r w:rsidR="00953EA4" w:rsidRPr="5A041715">
        <w:rPr>
          <w:rFonts w:cs="Arial"/>
        </w:rPr>
        <w:t>A</w:t>
      </w:r>
      <w:r w:rsidRPr="5A041715">
        <w:rPr>
          <w:rFonts w:cs="Arial"/>
        </w:rPr>
        <w:t xml:space="preserve"> new </w:t>
      </w:r>
      <w:r w:rsidR="34DC4F10" w:rsidRPr="5A041715">
        <w:rPr>
          <w:rFonts w:cs="Arial"/>
        </w:rPr>
        <w:t>P</w:t>
      </w:r>
      <w:r w:rsidRPr="5A041715">
        <w:rPr>
          <w:rFonts w:cs="Arial"/>
        </w:rPr>
        <w:t xml:space="preserve">eriod of </w:t>
      </w:r>
      <w:r w:rsidR="0FCA0E81" w:rsidRPr="5A041715">
        <w:rPr>
          <w:rFonts w:cs="Arial"/>
        </w:rPr>
        <w:t>G</w:t>
      </w:r>
      <w:r w:rsidRPr="5A041715">
        <w:rPr>
          <w:rFonts w:cs="Arial"/>
        </w:rPr>
        <w:t xml:space="preserve">race intent form </w:t>
      </w:r>
      <w:r w:rsidR="00953EA4" w:rsidRPr="5A041715">
        <w:rPr>
          <w:rFonts w:cs="Arial"/>
        </w:rPr>
        <w:t xml:space="preserve">would need to be submitted </w:t>
      </w:r>
      <w:r w:rsidRPr="5A041715">
        <w:rPr>
          <w:rFonts w:cs="Arial"/>
        </w:rPr>
        <w:t xml:space="preserve">for the remaining time (maximum 6 months’ total time inclusive of time used prior to statutory leave and time following return from statutory leave) to request continuation of the </w:t>
      </w:r>
      <w:r w:rsidR="7D3B66E6" w:rsidRPr="5A041715">
        <w:rPr>
          <w:rFonts w:cs="Arial"/>
        </w:rPr>
        <w:t>POG</w:t>
      </w:r>
      <w:r w:rsidRPr="5A041715">
        <w:rPr>
          <w:rFonts w:cs="Arial"/>
        </w:rPr>
        <w:t xml:space="preserve"> on return from leave. </w:t>
      </w:r>
    </w:p>
    <w:p w14:paraId="0D24AC9D" w14:textId="73B323A7" w:rsidR="1F4DC4CB" w:rsidRDefault="1F4DC4CB" w:rsidP="1F4DC4CB">
      <w:pPr>
        <w:rPr>
          <w:rFonts w:cs="Arial"/>
        </w:rPr>
      </w:pPr>
    </w:p>
    <w:p w14:paraId="00D9FD88" w14:textId="77777777" w:rsidR="00AD6D94" w:rsidRPr="00634244" w:rsidRDefault="00AD6D94" w:rsidP="71191A64">
      <w:pPr>
        <w:rPr>
          <w:rFonts w:cs="Arial"/>
        </w:rPr>
      </w:pPr>
    </w:p>
    <w:p w14:paraId="60D773F4" w14:textId="11D7A57E" w:rsidR="00AD6D94" w:rsidRPr="00127992" w:rsidRDefault="00127992" w:rsidP="00127992">
      <w:pPr>
        <w:pStyle w:val="Heading1"/>
        <w:spacing w:before="240" w:after="360"/>
        <w:contextualSpacing/>
        <w:rPr>
          <w:rFonts w:cstheme="majorBidi"/>
          <w:b w:val="0"/>
          <w:bCs w:val="0"/>
          <w:color w:val="005EB8"/>
          <w:szCs w:val="24"/>
        </w:rPr>
      </w:pPr>
      <w:r>
        <w:rPr>
          <w:rFonts w:cstheme="majorBidi"/>
          <w:b w:val="0"/>
          <w:bCs w:val="0"/>
          <w:color w:val="005EB8"/>
          <w:szCs w:val="24"/>
        </w:rPr>
        <w:t xml:space="preserve">6. </w:t>
      </w:r>
      <w:r w:rsidR="00634244" w:rsidRPr="00127992">
        <w:rPr>
          <w:rFonts w:cstheme="majorBidi"/>
          <w:b w:val="0"/>
          <w:bCs w:val="0"/>
          <w:color w:val="005EB8"/>
          <w:szCs w:val="24"/>
        </w:rPr>
        <w:t xml:space="preserve">Placement Location and suitability </w:t>
      </w:r>
    </w:p>
    <w:p w14:paraId="50A75B7F" w14:textId="578AA5BE" w:rsidR="71191A64" w:rsidRPr="00F831EF" w:rsidRDefault="1F4DC4CB" w:rsidP="00125055">
      <w:pPr>
        <w:rPr>
          <w:rFonts w:eastAsia="Arial" w:cs="Arial"/>
        </w:rPr>
      </w:pPr>
      <w:r w:rsidRPr="5A041715">
        <w:rPr>
          <w:rFonts w:eastAsia="Arial" w:cs="Arial"/>
        </w:rPr>
        <w:t xml:space="preserve">Doctors wishing to take up a </w:t>
      </w:r>
      <w:r w:rsidR="131E000B" w:rsidRPr="5A041715">
        <w:rPr>
          <w:rFonts w:eastAsia="Arial" w:cs="Arial"/>
        </w:rPr>
        <w:t>P</w:t>
      </w:r>
      <w:r w:rsidRPr="5A041715">
        <w:rPr>
          <w:rFonts w:eastAsia="Arial" w:cs="Arial"/>
        </w:rPr>
        <w:t xml:space="preserve">eriod of </w:t>
      </w:r>
      <w:r w:rsidR="43443676" w:rsidRPr="5A041715">
        <w:rPr>
          <w:rFonts w:eastAsia="Arial" w:cs="Arial"/>
        </w:rPr>
        <w:t>G</w:t>
      </w:r>
      <w:r w:rsidRPr="5A041715">
        <w:rPr>
          <w:rFonts w:eastAsia="Arial" w:cs="Arial"/>
        </w:rPr>
        <w:t xml:space="preserve">race will be informed of their placement in line with the standard rotation and allocation process. Whilst every effort should be made to enable </w:t>
      </w:r>
      <w:r w:rsidR="605D0775" w:rsidRPr="5A041715">
        <w:rPr>
          <w:rFonts w:eastAsia="Arial" w:cs="Arial"/>
        </w:rPr>
        <w:t>trainee</w:t>
      </w:r>
      <w:r w:rsidRPr="5A041715">
        <w:rPr>
          <w:rFonts w:eastAsia="Arial" w:cs="Arial"/>
        </w:rPr>
        <w:t xml:space="preserve">s to continue for the six-month </w:t>
      </w:r>
      <w:r w:rsidR="6F1C8119" w:rsidRPr="5A041715">
        <w:rPr>
          <w:rFonts w:eastAsia="Arial" w:cs="Arial"/>
        </w:rPr>
        <w:t>POG</w:t>
      </w:r>
      <w:r w:rsidRPr="5A041715">
        <w:rPr>
          <w:rFonts w:eastAsia="Arial" w:cs="Arial"/>
        </w:rPr>
        <w:t xml:space="preserve"> in a preferable post(s), the specific location placement and/or sub-specialty attachments will be determined by the availability of posts within the programme.</w:t>
      </w:r>
    </w:p>
    <w:p w14:paraId="53A3A310" w14:textId="5CA30BA2" w:rsidR="71191A64" w:rsidRPr="00F831EF" w:rsidRDefault="71191A64" w:rsidP="00125055">
      <w:pPr>
        <w:rPr>
          <w:rFonts w:cs="Arial"/>
        </w:rPr>
      </w:pPr>
    </w:p>
    <w:p w14:paraId="44266D24" w14:textId="68EB57E3" w:rsidR="71191A64" w:rsidRDefault="1A9C2403" w:rsidP="00125055">
      <w:pPr>
        <w:rPr>
          <w:rFonts w:cs="Arial"/>
        </w:rPr>
      </w:pPr>
      <w:r w:rsidRPr="5A041715">
        <w:rPr>
          <w:rFonts w:cs="Arial"/>
        </w:rPr>
        <w:t xml:space="preserve">The POG will not necessarily be in the same place of work as the final training placement. Whilst </w:t>
      </w:r>
      <w:r w:rsidR="00561F7B" w:rsidRPr="5A041715">
        <w:rPr>
          <w:rFonts w:cs="Arial"/>
        </w:rPr>
        <w:t>NHS England</w:t>
      </w:r>
      <w:r w:rsidRPr="5A041715">
        <w:rPr>
          <w:rFonts w:cs="Arial"/>
        </w:rPr>
        <w:t xml:space="preserve"> is committed to finding a post, this may involve a non-training post.</w:t>
      </w:r>
      <w:r w:rsidR="003228CF" w:rsidRPr="5A041715">
        <w:rPr>
          <w:rFonts w:cs="Arial"/>
        </w:rPr>
        <w:t xml:space="preserve"> </w:t>
      </w:r>
      <w:r w:rsidR="003228CF" w:rsidRPr="5A041715">
        <w:rPr>
          <w:rStyle w:val="cf01"/>
          <w:rFonts w:ascii="Arial" w:hAnsi="Arial" w:cs="Arial"/>
          <w:sz w:val="24"/>
          <w:szCs w:val="24"/>
        </w:rPr>
        <w:t xml:space="preserve">As the doctor has completed their </w:t>
      </w:r>
      <w:r w:rsidR="3FBE47DE" w:rsidRPr="5A041715">
        <w:rPr>
          <w:rStyle w:val="cf01"/>
          <w:rFonts w:ascii="Arial" w:hAnsi="Arial" w:cs="Arial"/>
          <w:sz w:val="24"/>
          <w:szCs w:val="24"/>
        </w:rPr>
        <w:t>training,</w:t>
      </w:r>
      <w:r w:rsidR="003228CF" w:rsidRPr="5A041715">
        <w:rPr>
          <w:rStyle w:val="cf01"/>
          <w:rFonts w:ascii="Arial" w:hAnsi="Arial" w:cs="Arial"/>
          <w:sz w:val="24"/>
          <w:szCs w:val="24"/>
        </w:rPr>
        <w:t xml:space="preserve"> they have no training needs so their POG placement will not take priority over training needs of other pre CCT doctors.</w:t>
      </w:r>
    </w:p>
    <w:p w14:paraId="1768A5F4" w14:textId="3B6FE191" w:rsidR="71191A64" w:rsidRDefault="71191A64" w:rsidP="1F4DC4CB"/>
    <w:p w14:paraId="75F8683A" w14:textId="77777777" w:rsidR="00AD6D94" w:rsidRPr="00634244" w:rsidRDefault="00AD6D94" w:rsidP="71191A64">
      <w:pPr>
        <w:rPr>
          <w:rFonts w:cs="Arial"/>
        </w:rPr>
      </w:pPr>
    </w:p>
    <w:p w14:paraId="65113028" w14:textId="61B36748" w:rsidR="00634244" w:rsidRPr="008948BA" w:rsidRDefault="008948BA" w:rsidP="008948BA">
      <w:pPr>
        <w:pStyle w:val="Heading1"/>
        <w:spacing w:before="240" w:after="360"/>
        <w:contextualSpacing/>
        <w:rPr>
          <w:rFonts w:cstheme="majorBidi"/>
          <w:b w:val="0"/>
          <w:bCs w:val="0"/>
          <w:color w:val="005EB8"/>
          <w:szCs w:val="24"/>
        </w:rPr>
      </w:pPr>
      <w:r>
        <w:rPr>
          <w:rFonts w:cstheme="majorBidi"/>
          <w:b w:val="0"/>
          <w:bCs w:val="0"/>
          <w:color w:val="005EB8"/>
          <w:szCs w:val="24"/>
        </w:rPr>
        <w:t xml:space="preserve">7. </w:t>
      </w:r>
      <w:r w:rsidR="00634244" w:rsidRPr="008948BA">
        <w:rPr>
          <w:rFonts w:cstheme="majorBidi"/>
          <w:b w:val="0"/>
          <w:bCs w:val="0"/>
          <w:color w:val="005EB8"/>
          <w:szCs w:val="24"/>
        </w:rPr>
        <w:t xml:space="preserve">Termination </w:t>
      </w:r>
    </w:p>
    <w:p w14:paraId="3F1B0BF0" w14:textId="46775F44" w:rsidR="1F4DC4CB" w:rsidRDefault="1F4DC4CB" w:rsidP="00125055">
      <w:pPr>
        <w:rPr>
          <w:rFonts w:eastAsia="Arial" w:cs="Arial"/>
          <w:color w:val="000000" w:themeColor="text1"/>
        </w:rPr>
      </w:pPr>
      <w:r w:rsidRPr="5A041715">
        <w:rPr>
          <w:rFonts w:eastAsia="Arial" w:cs="Arial"/>
          <w:color w:val="000000" w:themeColor="text1"/>
        </w:rPr>
        <w:t xml:space="preserve">Once the </w:t>
      </w:r>
      <w:r w:rsidR="6EEBFA24" w:rsidRPr="5A041715">
        <w:rPr>
          <w:rFonts w:eastAsia="Arial" w:cs="Arial"/>
          <w:color w:val="000000" w:themeColor="text1"/>
        </w:rPr>
        <w:t xml:space="preserve">trainee </w:t>
      </w:r>
      <w:r w:rsidRPr="5A041715">
        <w:rPr>
          <w:rFonts w:eastAsia="Arial" w:cs="Arial"/>
          <w:color w:val="000000" w:themeColor="text1"/>
        </w:rPr>
        <w:t xml:space="preserve">has requested a </w:t>
      </w:r>
      <w:r w:rsidR="7A4109C1" w:rsidRPr="5A041715">
        <w:rPr>
          <w:rFonts w:eastAsia="Arial" w:cs="Arial"/>
          <w:color w:val="000000" w:themeColor="text1"/>
        </w:rPr>
        <w:t>P</w:t>
      </w:r>
      <w:r w:rsidRPr="5A041715">
        <w:rPr>
          <w:rFonts w:eastAsia="Arial" w:cs="Arial"/>
          <w:color w:val="000000" w:themeColor="text1"/>
        </w:rPr>
        <w:t xml:space="preserve">eriod of </w:t>
      </w:r>
      <w:r w:rsidR="55223441" w:rsidRPr="5A041715">
        <w:rPr>
          <w:rFonts w:eastAsia="Arial" w:cs="Arial"/>
          <w:color w:val="000000" w:themeColor="text1"/>
        </w:rPr>
        <w:t>G</w:t>
      </w:r>
      <w:r w:rsidRPr="5A041715">
        <w:rPr>
          <w:rFonts w:eastAsia="Arial" w:cs="Arial"/>
          <w:color w:val="000000" w:themeColor="text1"/>
        </w:rPr>
        <w:t xml:space="preserve">race, three months’ notice is required to terminate in line with NHS Employers’ Junior Doctors Terms and Conditions for STR level doctors in training. This is to ensure that employers/Local Education Providers are given adequate time to make provision to fulfil service needs. </w:t>
      </w:r>
    </w:p>
    <w:p w14:paraId="4ED8C5B2" w14:textId="1AEDD7C8" w:rsidR="1F4DC4CB" w:rsidRDefault="1F4DC4CB" w:rsidP="00125055">
      <w:pPr>
        <w:rPr>
          <w:rFonts w:eastAsia="Arial" w:cs="Arial"/>
          <w:color w:val="000000" w:themeColor="text1"/>
        </w:rPr>
      </w:pPr>
    </w:p>
    <w:p w14:paraId="2F44536B" w14:textId="1B1069F2" w:rsidR="1F4DC4CB" w:rsidRDefault="1F4DC4CB" w:rsidP="00125055">
      <w:pPr>
        <w:rPr>
          <w:rFonts w:eastAsia="Arial" w:cs="Arial"/>
          <w:color w:val="000000" w:themeColor="text1"/>
        </w:rPr>
      </w:pPr>
      <w:r w:rsidRPr="5A041715">
        <w:rPr>
          <w:rFonts w:eastAsia="Arial" w:cs="Arial"/>
          <w:color w:val="000000" w:themeColor="text1"/>
        </w:rPr>
        <w:t xml:space="preserve">Once the </w:t>
      </w:r>
      <w:r w:rsidR="5AB7EE58" w:rsidRPr="5A041715">
        <w:rPr>
          <w:rFonts w:eastAsia="Arial" w:cs="Arial"/>
          <w:color w:val="000000" w:themeColor="text1"/>
        </w:rPr>
        <w:t>trainee</w:t>
      </w:r>
      <w:r w:rsidRPr="5A041715">
        <w:rPr>
          <w:rFonts w:eastAsia="Arial" w:cs="Arial"/>
          <w:color w:val="000000" w:themeColor="text1"/>
        </w:rPr>
        <w:t xml:space="preserve"> has commenced the </w:t>
      </w:r>
      <w:r w:rsidR="57D6C08C" w:rsidRPr="5A041715">
        <w:rPr>
          <w:rFonts w:eastAsia="Arial" w:cs="Arial"/>
          <w:color w:val="000000" w:themeColor="text1"/>
        </w:rPr>
        <w:t>POG</w:t>
      </w:r>
      <w:r w:rsidRPr="5A041715">
        <w:rPr>
          <w:rFonts w:eastAsia="Arial" w:cs="Arial"/>
          <w:color w:val="000000" w:themeColor="text1"/>
        </w:rPr>
        <w:t xml:space="preserve">, should they wish to leave the post prior to the end of the agreed period, the usual notice period of three months from the date of the resignation letter is required. </w:t>
      </w:r>
    </w:p>
    <w:p w14:paraId="34AE9025" w14:textId="2315835A" w:rsidR="1F4DC4CB" w:rsidRDefault="1F4DC4CB" w:rsidP="00125055">
      <w:pPr>
        <w:rPr>
          <w:rFonts w:eastAsia="Arial" w:cs="Arial"/>
          <w:color w:val="000000" w:themeColor="text1"/>
        </w:rPr>
      </w:pPr>
    </w:p>
    <w:p w14:paraId="57BF34FA" w14:textId="7329F356" w:rsidR="1F4DC4CB" w:rsidRPr="00F831EF" w:rsidRDefault="1F4DC4CB" w:rsidP="5A041715">
      <w:pPr>
        <w:rPr>
          <w:rFonts w:eastAsia="Arial" w:cs="Arial"/>
        </w:rPr>
      </w:pPr>
      <w:r w:rsidRPr="5A041715">
        <w:rPr>
          <w:rFonts w:eastAsia="Arial" w:cs="Arial"/>
          <w:color w:val="000000" w:themeColor="text1"/>
        </w:rPr>
        <w:t xml:space="preserve">If the doctor chooses not to accept the Period of Grace, they will relinquish their NTN number and the right to the </w:t>
      </w:r>
      <w:r w:rsidR="4294C1B6" w:rsidRPr="5A041715">
        <w:rPr>
          <w:rFonts w:eastAsia="Arial" w:cs="Arial"/>
          <w:color w:val="000000" w:themeColor="text1"/>
        </w:rPr>
        <w:t>POG</w:t>
      </w:r>
      <w:r w:rsidRPr="5A041715">
        <w:rPr>
          <w:rFonts w:eastAsia="Arial" w:cs="Arial"/>
          <w:color w:val="000000" w:themeColor="text1"/>
        </w:rPr>
        <w:t xml:space="preserve"> is given up. They are not required to follow </w:t>
      </w:r>
      <w:r w:rsidRPr="5A041715">
        <w:rPr>
          <w:rFonts w:eastAsia="Arial" w:cs="Arial"/>
        </w:rPr>
        <w:t xml:space="preserve">the resignation procedure; their training post will simply come to an end at the expected CCT/or CCT via CESR(CP) date subject to satisfactory completion of the training programme. </w:t>
      </w:r>
    </w:p>
    <w:p w14:paraId="3015FDA3" w14:textId="361D534C" w:rsidR="1F4DC4CB" w:rsidRPr="00F831EF" w:rsidRDefault="1F4DC4CB" w:rsidP="00125055">
      <w:r w:rsidRPr="00F831EF">
        <w:rPr>
          <w:rFonts w:eastAsia="Arial" w:cs="Arial"/>
        </w:rPr>
        <w:t xml:space="preserve"> </w:t>
      </w:r>
    </w:p>
    <w:p w14:paraId="61F4199E" w14:textId="6AE60AB6" w:rsidR="1F4DC4CB" w:rsidRDefault="1F4DC4CB" w:rsidP="00125055">
      <w:r w:rsidRPr="1F4DC4CB">
        <w:rPr>
          <w:rFonts w:eastAsia="Arial" w:cs="Arial"/>
          <w:color w:val="000000" w:themeColor="text1"/>
        </w:rPr>
        <w:t xml:space="preserve">In exceptional cases, a </w:t>
      </w:r>
      <w:r w:rsidR="004C6EB5">
        <w:rPr>
          <w:rFonts w:eastAsia="Arial" w:cs="Arial"/>
          <w:color w:val="000000" w:themeColor="text1"/>
        </w:rPr>
        <w:t xml:space="preserve">trainee </w:t>
      </w:r>
      <w:r w:rsidRPr="1F4DC4CB">
        <w:rPr>
          <w:rFonts w:eastAsia="Arial" w:cs="Arial"/>
          <w:color w:val="000000" w:themeColor="text1"/>
        </w:rPr>
        <w:t xml:space="preserve">may wish to resign with less than three months’ notice. In such cases the </w:t>
      </w:r>
      <w:r w:rsidR="003228CF">
        <w:rPr>
          <w:rFonts w:eastAsia="Arial" w:cs="Arial"/>
          <w:color w:val="000000" w:themeColor="text1"/>
        </w:rPr>
        <w:t xml:space="preserve">employer’s </w:t>
      </w:r>
      <w:r w:rsidRPr="1F4DC4CB">
        <w:rPr>
          <w:rFonts w:eastAsia="Arial" w:cs="Arial"/>
          <w:color w:val="000000" w:themeColor="text1"/>
        </w:rPr>
        <w:t>early resignation process must be followed</w:t>
      </w:r>
      <w:r w:rsidR="003228CF">
        <w:rPr>
          <w:rFonts w:eastAsia="Arial" w:cs="Arial"/>
          <w:color w:val="000000" w:themeColor="text1"/>
        </w:rPr>
        <w:t xml:space="preserve"> and the Postgraduate Dean or nominated deputy informed at the same time. </w:t>
      </w:r>
    </w:p>
    <w:p w14:paraId="7F5EBDE8" w14:textId="0115FD4B" w:rsidR="00AD6D94" w:rsidRPr="008948BA" w:rsidRDefault="00AD6D94" w:rsidP="71191A64"/>
    <w:p w14:paraId="5C5E4FE2" w14:textId="77777777" w:rsidR="00A77212" w:rsidRPr="00634244" w:rsidRDefault="00A77212" w:rsidP="71191A64">
      <w:pPr>
        <w:rPr>
          <w:rFonts w:cs="Arial"/>
        </w:rPr>
      </w:pPr>
    </w:p>
    <w:p w14:paraId="1EBF92BF" w14:textId="55B115E0" w:rsidR="00AD6D94" w:rsidRPr="008948BA" w:rsidRDefault="008948BA" w:rsidP="008948BA">
      <w:pPr>
        <w:pStyle w:val="Heading1"/>
        <w:spacing w:before="240" w:after="360"/>
        <w:contextualSpacing/>
        <w:rPr>
          <w:rFonts w:cstheme="majorBidi"/>
          <w:b w:val="0"/>
          <w:bCs w:val="0"/>
          <w:color w:val="005EB8"/>
          <w:szCs w:val="24"/>
        </w:rPr>
      </w:pPr>
      <w:r>
        <w:rPr>
          <w:rFonts w:cstheme="majorBidi"/>
          <w:b w:val="0"/>
          <w:bCs w:val="0"/>
          <w:color w:val="005EB8"/>
          <w:szCs w:val="24"/>
        </w:rPr>
        <w:lastRenderedPageBreak/>
        <w:t xml:space="preserve">8. </w:t>
      </w:r>
      <w:r w:rsidR="00634244" w:rsidRPr="008948BA">
        <w:rPr>
          <w:rFonts w:cstheme="majorBidi"/>
          <w:b w:val="0"/>
          <w:bCs w:val="0"/>
          <w:color w:val="005EB8"/>
          <w:szCs w:val="24"/>
        </w:rPr>
        <w:t xml:space="preserve">Extension </w:t>
      </w:r>
    </w:p>
    <w:p w14:paraId="132681AD" w14:textId="4C0AFF9B" w:rsidR="00634244" w:rsidRDefault="00634244" w:rsidP="00125055">
      <w:pPr>
        <w:rPr>
          <w:rFonts w:cs="Arial"/>
        </w:rPr>
      </w:pPr>
      <w:r w:rsidRPr="5A041715">
        <w:rPr>
          <w:rFonts w:cs="Arial"/>
        </w:rPr>
        <w:t xml:space="preserve">It may be that </w:t>
      </w:r>
      <w:r w:rsidR="00FE6A73" w:rsidRPr="5A041715">
        <w:rPr>
          <w:rFonts w:cs="Arial"/>
        </w:rPr>
        <w:t xml:space="preserve">doctors </w:t>
      </w:r>
      <w:r w:rsidRPr="5A041715">
        <w:rPr>
          <w:rFonts w:cs="Arial"/>
        </w:rPr>
        <w:t xml:space="preserve">with a CCT have difficulty in obtaining a </w:t>
      </w:r>
      <w:r w:rsidR="00AD6D94" w:rsidRPr="5A041715">
        <w:rPr>
          <w:rFonts w:cs="Arial"/>
        </w:rPr>
        <w:t>c</w:t>
      </w:r>
      <w:r w:rsidRPr="5A041715">
        <w:rPr>
          <w:rFonts w:cs="Arial"/>
        </w:rPr>
        <w:t xml:space="preserve">onsultant level post and have not achieved employment by the end of the six-month </w:t>
      </w:r>
      <w:r w:rsidR="79367894" w:rsidRPr="5A041715">
        <w:rPr>
          <w:rFonts w:cs="Arial"/>
        </w:rPr>
        <w:t>P</w:t>
      </w:r>
      <w:r w:rsidR="00AD6D94" w:rsidRPr="5A041715">
        <w:rPr>
          <w:rFonts w:cs="Arial"/>
        </w:rPr>
        <w:t xml:space="preserve">eriod of </w:t>
      </w:r>
      <w:r w:rsidR="36D25874" w:rsidRPr="5A041715">
        <w:rPr>
          <w:rFonts w:cs="Arial"/>
        </w:rPr>
        <w:t>G</w:t>
      </w:r>
      <w:r w:rsidR="00AD6D94" w:rsidRPr="5A041715">
        <w:rPr>
          <w:rFonts w:cs="Arial"/>
        </w:rPr>
        <w:t xml:space="preserve">race. </w:t>
      </w:r>
      <w:r w:rsidRPr="5A041715">
        <w:rPr>
          <w:rFonts w:cs="Arial"/>
        </w:rPr>
        <w:t>Extension is typically not available</w:t>
      </w:r>
      <w:r w:rsidR="00D615F5" w:rsidRPr="5A041715">
        <w:rPr>
          <w:rFonts w:cs="Arial"/>
        </w:rPr>
        <w:t xml:space="preserve"> </w:t>
      </w:r>
      <w:r w:rsidRPr="5A041715">
        <w:rPr>
          <w:rFonts w:cs="Arial"/>
        </w:rPr>
        <w:t xml:space="preserve">but may be considered at the discretion of the Postgraduate </w:t>
      </w:r>
      <w:r w:rsidR="00AD6D94" w:rsidRPr="5A041715">
        <w:rPr>
          <w:rFonts w:cs="Arial"/>
        </w:rPr>
        <w:t>D</w:t>
      </w:r>
      <w:r w:rsidRPr="5A041715">
        <w:rPr>
          <w:rFonts w:cs="Arial"/>
        </w:rPr>
        <w:t>ean</w:t>
      </w:r>
      <w:r w:rsidR="00AD6D94" w:rsidRPr="5A041715">
        <w:rPr>
          <w:rFonts w:cs="Arial"/>
        </w:rPr>
        <w:t>.</w:t>
      </w:r>
    </w:p>
    <w:p w14:paraId="69EAA15D" w14:textId="679C47E3" w:rsidR="71191A64" w:rsidRDefault="71191A64" w:rsidP="71191A64"/>
    <w:p w14:paraId="6508B342" w14:textId="77777777" w:rsidR="00AD6D94" w:rsidRPr="00634244" w:rsidRDefault="00AD6D94" w:rsidP="71191A64">
      <w:pPr>
        <w:rPr>
          <w:rFonts w:cs="Arial"/>
        </w:rPr>
      </w:pPr>
    </w:p>
    <w:p w14:paraId="34A9204C" w14:textId="5598DF39" w:rsidR="00AD6D94" w:rsidRPr="008948BA" w:rsidRDefault="008948BA" w:rsidP="008948BA">
      <w:pPr>
        <w:pStyle w:val="Heading1"/>
        <w:spacing w:before="240" w:after="360"/>
        <w:contextualSpacing/>
        <w:rPr>
          <w:rFonts w:cstheme="majorBidi"/>
          <w:b w:val="0"/>
          <w:bCs w:val="0"/>
          <w:color w:val="005EB8"/>
          <w:szCs w:val="24"/>
        </w:rPr>
      </w:pPr>
      <w:r>
        <w:rPr>
          <w:rFonts w:cstheme="majorBidi"/>
          <w:b w:val="0"/>
          <w:bCs w:val="0"/>
          <w:color w:val="005EB8"/>
          <w:szCs w:val="24"/>
        </w:rPr>
        <w:t xml:space="preserve">9. </w:t>
      </w:r>
      <w:r w:rsidR="00634244" w:rsidRPr="008948BA">
        <w:rPr>
          <w:rFonts w:cstheme="majorBidi"/>
          <w:b w:val="0"/>
          <w:bCs w:val="0"/>
          <w:color w:val="005EB8"/>
          <w:szCs w:val="24"/>
        </w:rPr>
        <w:t xml:space="preserve">Employment rights </w:t>
      </w:r>
    </w:p>
    <w:p w14:paraId="5788783D" w14:textId="24806838" w:rsidR="00D615F5" w:rsidRDefault="1F4DC4CB" w:rsidP="00125055">
      <w:pPr>
        <w:spacing w:line="257" w:lineRule="auto"/>
        <w:rPr>
          <w:rFonts w:eastAsia="Arial" w:cs="Arial"/>
        </w:rPr>
      </w:pPr>
      <w:r w:rsidRPr="5A041715">
        <w:rPr>
          <w:rFonts w:eastAsia="Arial" w:cs="Arial"/>
        </w:rPr>
        <w:t xml:space="preserve">Doctors employed in a </w:t>
      </w:r>
      <w:r w:rsidR="58C83761" w:rsidRPr="5A041715">
        <w:rPr>
          <w:rFonts w:eastAsia="Arial" w:cs="Arial"/>
        </w:rPr>
        <w:t>P</w:t>
      </w:r>
      <w:r w:rsidRPr="5A041715">
        <w:rPr>
          <w:rFonts w:eastAsia="Arial" w:cs="Arial"/>
        </w:rPr>
        <w:t xml:space="preserve">eriod of </w:t>
      </w:r>
      <w:r w:rsidR="65FFB518" w:rsidRPr="5A041715">
        <w:rPr>
          <w:rFonts w:eastAsia="Arial" w:cs="Arial"/>
        </w:rPr>
        <w:t>G</w:t>
      </w:r>
      <w:r w:rsidRPr="5A041715">
        <w:rPr>
          <w:rFonts w:eastAsia="Arial" w:cs="Arial"/>
        </w:rPr>
        <w:t>race post must be employed under the 2016 terms and conditions of service and have access to all the provisions of the TCS, except for those relating to education and training.</w:t>
      </w:r>
    </w:p>
    <w:p w14:paraId="00581D24" w14:textId="0DE1DE9A" w:rsidR="00D615F5" w:rsidRDefault="00D615F5" w:rsidP="00125055">
      <w:pPr>
        <w:spacing w:line="257" w:lineRule="auto"/>
        <w:rPr>
          <w:rFonts w:eastAsia="Arial" w:cs="Arial"/>
        </w:rPr>
      </w:pPr>
    </w:p>
    <w:p w14:paraId="2E7559CF" w14:textId="0DB1D330" w:rsidR="00D615F5" w:rsidRDefault="1F4DC4CB" w:rsidP="00125055">
      <w:pPr>
        <w:spacing w:line="257" w:lineRule="auto"/>
        <w:rPr>
          <w:rFonts w:eastAsia="Arial" w:cs="Arial"/>
        </w:rPr>
      </w:pPr>
      <w:r w:rsidRPr="5A041715">
        <w:rPr>
          <w:rFonts w:eastAsia="Arial" w:cs="Arial"/>
        </w:rPr>
        <w:t xml:space="preserve">Doctors in the </w:t>
      </w:r>
      <w:r w:rsidR="1ECDEEC0" w:rsidRPr="5A041715">
        <w:rPr>
          <w:rFonts w:eastAsia="Arial" w:cs="Arial"/>
        </w:rPr>
        <w:t>P</w:t>
      </w:r>
      <w:r w:rsidRPr="5A041715">
        <w:rPr>
          <w:rFonts w:eastAsia="Arial" w:cs="Arial"/>
        </w:rPr>
        <w:t xml:space="preserve">eriod of </w:t>
      </w:r>
      <w:r w:rsidR="377779A5" w:rsidRPr="5A041715">
        <w:rPr>
          <w:rFonts w:eastAsia="Arial" w:cs="Arial"/>
        </w:rPr>
        <w:t>G</w:t>
      </w:r>
      <w:r w:rsidRPr="5A041715">
        <w:rPr>
          <w:rFonts w:eastAsia="Arial" w:cs="Arial"/>
        </w:rPr>
        <w:t xml:space="preserve">race will not be expected to undertake research or other training orientated sessions except as explicitly agreed with the relevant specialty school. Doctors will not be eligible for </w:t>
      </w:r>
      <w:r w:rsidR="000C5B3F" w:rsidRPr="5A041715">
        <w:rPr>
          <w:rFonts w:eastAsia="Arial" w:cs="Arial"/>
        </w:rPr>
        <w:t>NH</w:t>
      </w:r>
      <w:r w:rsidR="3BDC11DB" w:rsidRPr="5A041715">
        <w:rPr>
          <w:rFonts w:eastAsia="Arial" w:cs="Arial"/>
        </w:rPr>
        <w:t>S</w:t>
      </w:r>
      <w:r w:rsidR="000C5B3F" w:rsidRPr="5A041715">
        <w:rPr>
          <w:rFonts w:eastAsia="Arial" w:cs="Arial"/>
        </w:rPr>
        <w:t xml:space="preserve"> England</w:t>
      </w:r>
      <w:r w:rsidRPr="5A041715">
        <w:rPr>
          <w:rFonts w:eastAsia="Arial" w:cs="Arial"/>
        </w:rPr>
        <w:t xml:space="preserve"> funded study leave as this is for meeting CCT requirements. However, they can receive time for ensuring revalidation requirements are met. Doctors in a </w:t>
      </w:r>
      <w:r w:rsidR="312FDCC3" w:rsidRPr="5A041715">
        <w:rPr>
          <w:rFonts w:eastAsia="Arial" w:cs="Arial"/>
        </w:rPr>
        <w:t>POG</w:t>
      </w:r>
      <w:r w:rsidRPr="5A041715">
        <w:rPr>
          <w:rFonts w:eastAsia="Arial" w:cs="Arial"/>
        </w:rPr>
        <w:t xml:space="preserve"> are entitled to statutory leave </w:t>
      </w:r>
      <w:r w:rsidR="6C664B7C" w:rsidRPr="5A041715">
        <w:rPr>
          <w:rFonts w:eastAsia="Arial" w:cs="Arial"/>
        </w:rPr>
        <w:t>(</w:t>
      </w:r>
      <w:r w:rsidRPr="5A041715">
        <w:rPr>
          <w:rFonts w:eastAsia="Arial" w:cs="Arial"/>
        </w:rPr>
        <w:t>i.e., annual leave, and sick leave</w:t>
      </w:r>
      <w:r w:rsidR="49C9CBBC" w:rsidRPr="5A041715">
        <w:rPr>
          <w:rFonts w:eastAsia="Arial" w:cs="Arial"/>
        </w:rPr>
        <w:t>)</w:t>
      </w:r>
      <w:r w:rsidRPr="5A041715">
        <w:rPr>
          <w:rFonts w:eastAsia="Arial" w:cs="Arial"/>
        </w:rPr>
        <w:t xml:space="preserve"> according to the placement provider’s policy. They should also be allowed to attend departmental education sessions as appropriate.</w:t>
      </w:r>
    </w:p>
    <w:p w14:paraId="604448DE" w14:textId="3B4D734B" w:rsidR="00D615F5" w:rsidRDefault="00D615F5" w:rsidP="1F4DC4CB">
      <w:pPr>
        <w:rPr>
          <w:rFonts w:cs="Arial"/>
        </w:rPr>
      </w:pPr>
    </w:p>
    <w:p w14:paraId="1EA93619" w14:textId="594F3CB1" w:rsidR="00D615F5" w:rsidRDefault="00D615F5" w:rsidP="1F4DC4CB">
      <w:pPr>
        <w:rPr>
          <w:rFonts w:cs="Arial"/>
        </w:rPr>
      </w:pPr>
    </w:p>
    <w:p w14:paraId="71039838" w14:textId="58061AE2" w:rsidR="5A041715" w:rsidRDefault="5A041715" w:rsidP="5A041715">
      <w:pPr>
        <w:rPr>
          <w:rFonts w:cs="Arial"/>
        </w:rPr>
      </w:pPr>
    </w:p>
    <w:p w14:paraId="0E99B8C0" w14:textId="06C6F725" w:rsidR="5A041715" w:rsidRDefault="5A041715" w:rsidP="5A041715">
      <w:pPr>
        <w:rPr>
          <w:rFonts w:cs="Arial"/>
        </w:rPr>
      </w:pPr>
    </w:p>
    <w:p w14:paraId="18F87D5D" w14:textId="09EC2A64" w:rsidR="5A041715" w:rsidRDefault="5A041715" w:rsidP="5A041715">
      <w:pPr>
        <w:rPr>
          <w:rFonts w:cs="Arial"/>
        </w:rPr>
      </w:pPr>
    </w:p>
    <w:p w14:paraId="2655372F" w14:textId="2719CEDA" w:rsidR="5A041715" w:rsidRDefault="5A041715" w:rsidP="5A041715">
      <w:pPr>
        <w:rPr>
          <w:rFonts w:cs="Arial"/>
        </w:rPr>
      </w:pPr>
    </w:p>
    <w:p w14:paraId="4FBC9A4F" w14:textId="0D35E172" w:rsidR="5A041715" w:rsidRDefault="5A041715" w:rsidP="5A041715">
      <w:pPr>
        <w:rPr>
          <w:rFonts w:cs="Arial"/>
        </w:rPr>
      </w:pPr>
    </w:p>
    <w:p w14:paraId="501975FB" w14:textId="179E346A" w:rsidR="5A041715" w:rsidRDefault="5A041715" w:rsidP="5A041715">
      <w:pPr>
        <w:rPr>
          <w:rFonts w:cs="Arial"/>
        </w:rPr>
      </w:pPr>
    </w:p>
    <w:p w14:paraId="59BE41BC" w14:textId="447EC983" w:rsidR="5A041715" w:rsidRDefault="5A041715" w:rsidP="5A041715">
      <w:pPr>
        <w:rPr>
          <w:rFonts w:cs="Arial"/>
        </w:rPr>
      </w:pPr>
    </w:p>
    <w:p w14:paraId="55A424AC" w14:textId="2AAFCE0F" w:rsidR="5A041715" w:rsidRDefault="5A041715" w:rsidP="5A041715">
      <w:pPr>
        <w:rPr>
          <w:rFonts w:cs="Arial"/>
        </w:rPr>
      </w:pPr>
    </w:p>
    <w:p w14:paraId="6211BA71" w14:textId="49A7D9C9" w:rsidR="5A041715" w:rsidRDefault="5A041715" w:rsidP="5A041715">
      <w:pPr>
        <w:rPr>
          <w:rFonts w:cs="Arial"/>
        </w:rPr>
      </w:pPr>
    </w:p>
    <w:p w14:paraId="403F6E9B" w14:textId="5496AE06" w:rsidR="5A041715" w:rsidRDefault="5A041715" w:rsidP="5A041715">
      <w:pPr>
        <w:rPr>
          <w:rFonts w:cs="Arial"/>
        </w:rPr>
      </w:pPr>
    </w:p>
    <w:p w14:paraId="2873EF28" w14:textId="2C2C8D49" w:rsidR="004D6F2A" w:rsidRDefault="004D6F2A">
      <w:pPr>
        <w:spacing w:after="200" w:line="276" w:lineRule="auto"/>
        <w:rPr>
          <w:rFonts w:cs="Arial"/>
        </w:rPr>
      </w:pPr>
      <w:r>
        <w:rPr>
          <w:rFonts w:cs="Arial"/>
        </w:rPr>
        <w:br w:type="page"/>
      </w:r>
    </w:p>
    <w:p w14:paraId="6D07BB9D" w14:textId="5D0A76A8" w:rsidR="00634244" w:rsidRPr="000D7A9E" w:rsidRDefault="000D7A9E" w:rsidP="5A041715">
      <w:pPr>
        <w:pStyle w:val="Heading1"/>
        <w:spacing w:before="240" w:line="276" w:lineRule="auto"/>
        <w:contextualSpacing/>
        <w:rPr>
          <w:rFonts w:cstheme="majorBidi"/>
          <w:b w:val="0"/>
          <w:bCs w:val="0"/>
          <w:color w:val="005EB8"/>
          <w:sz w:val="28"/>
          <w:szCs w:val="28"/>
        </w:rPr>
      </w:pPr>
      <w:bookmarkStart w:id="0" w:name="_Ref381618034"/>
      <w:bookmarkStart w:id="1" w:name="_Toc381618291"/>
      <w:r w:rsidRPr="5A041715">
        <w:rPr>
          <w:rFonts w:cstheme="majorBidi"/>
          <w:b w:val="0"/>
          <w:bCs w:val="0"/>
          <w:color w:val="005EB8"/>
          <w:sz w:val="28"/>
          <w:szCs w:val="28"/>
        </w:rPr>
        <w:lastRenderedPageBreak/>
        <w:t>APPENDIX 1: PERIOD OF GRACE INTENT FORM</w:t>
      </w:r>
      <w:bookmarkEnd w:id="0"/>
      <w:bookmarkEnd w:id="1"/>
    </w:p>
    <w:p w14:paraId="10B902F4" w14:textId="6D0EFB06" w:rsidR="00D615F5" w:rsidRPr="00634244" w:rsidRDefault="00D615F5" w:rsidP="1F4DC4CB">
      <w:pPr>
        <w:keepNext/>
        <w:ind w:left="720" w:hanging="720"/>
        <w:outlineLvl w:val="0"/>
        <w:rPr>
          <w:rFonts w:eastAsia="Times New Roman" w:cs="Arial"/>
          <w:b/>
          <w:bCs/>
          <w:lang w:eastAsia="en-GB"/>
        </w:rPr>
      </w:pPr>
    </w:p>
    <w:tbl>
      <w:tblPr>
        <w:tblStyle w:val="TableGrid"/>
        <w:tblW w:w="0" w:type="auto"/>
        <w:tblInd w:w="-5" w:type="dxa"/>
        <w:tblLook w:val="04A0" w:firstRow="1" w:lastRow="0" w:firstColumn="1" w:lastColumn="0" w:noHBand="0" w:noVBand="1"/>
      </w:tblPr>
      <w:tblGrid>
        <w:gridCol w:w="3970"/>
        <w:gridCol w:w="5528"/>
      </w:tblGrid>
      <w:tr w:rsidR="00634244" w:rsidRPr="00634244" w:rsidDel="00F83174" w14:paraId="114F5502" w14:textId="77777777" w:rsidTr="1F4DC4CB">
        <w:tc>
          <w:tcPr>
            <w:tcW w:w="9498" w:type="dxa"/>
            <w:gridSpan w:val="2"/>
            <w:shd w:val="clear" w:color="auto" w:fill="E28C05"/>
          </w:tcPr>
          <w:p w14:paraId="35EAF1E9" w14:textId="77777777" w:rsidR="00634244" w:rsidRPr="00634244" w:rsidDel="00F83174" w:rsidRDefault="00634244" w:rsidP="71191A64">
            <w:pPr>
              <w:rPr>
                <w:rFonts w:cs="Arial"/>
              </w:rPr>
            </w:pPr>
            <w:r w:rsidRPr="71191A64">
              <w:rPr>
                <w:rFonts w:cs="Arial"/>
                <w:b/>
                <w:bCs/>
              </w:rPr>
              <w:t>Personal Details</w:t>
            </w:r>
          </w:p>
        </w:tc>
      </w:tr>
      <w:tr w:rsidR="00634244" w:rsidRPr="00634244" w:rsidDel="00F83174" w14:paraId="38996C8E" w14:textId="77777777" w:rsidTr="1F4DC4CB">
        <w:trPr>
          <w:trHeight w:val="551"/>
        </w:trPr>
        <w:tc>
          <w:tcPr>
            <w:tcW w:w="3970" w:type="dxa"/>
          </w:tcPr>
          <w:p w14:paraId="2B7CEDA4" w14:textId="77777777" w:rsidR="00634244" w:rsidRPr="00634244" w:rsidDel="00F83174" w:rsidRDefault="00634244" w:rsidP="71191A64">
            <w:pPr>
              <w:rPr>
                <w:rFonts w:cs="Arial"/>
                <w:b/>
                <w:bCs/>
              </w:rPr>
            </w:pPr>
            <w:r w:rsidRPr="71191A64">
              <w:rPr>
                <w:rFonts w:cs="Arial"/>
                <w:b/>
                <w:bCs/>
              </w:rPr>
              <w:t>First name:</w:t>
            </w:r>
          </w:p>
        </w:tc>
        <w:tc>
          <w:tcPr>
            <w:tcW w:w="5528" w:type="dxa"/>
          </w:tcPr>
          <w:p w14:paraId="72B58417" w14:textId="77777777" w:rsidR="00634244" w:rsidRPr="00634244" w:rsidDel="00F83174" w:rsidRDefault="00634244" w:rsidP="71191A64">
            <w:pPr>
              <w:rPr>
                <w:rFonts w:cs="Arial"/>
              </w:rPr>
            </w:pPr>
          </w:p>
        </w:tc>
      </w:tr>
      <w:tr w:rsidR="00634244" w:rsidRPr="00634244" w:rsidDel="00F83174" w14:paraId="7B486EA7" w14:textId="77777777" w:rsidTr="1F4DC4CB">
        <w:trPr>
          <w:trHeight w:val="559"/>
        </w:trPr>
        <w:tc>
          <w:tcPr>
            <w:tcW w:w="3970" w:type="dxa"/>
          </w:tcPr>
          <w:p w14:paraId="70E64359" w14:textId="77777777" w:rsidR="00634244" w:rsidRPr="00634244" w:rsidDel="00F83174" w:rsidRDefault="00634244" w:rsidP="71191A64">
            <w:pPr>
              <w:rPr>
                <w:rFonts w:cs="Arial"/>
                <w:b/>
                <w:bCs/>
              </w:rPr>
            </w:pPr>
            <w:r w:rsidRPr="71191A64">
              <w:rPr>
                <w:rFonts w:cs="Arial"/>
                <w:b/>
                <w:bCs/>
              </w:rPr>
              <w:t>Surname:</w:t>
            </w:r>
          </w:p>
        </w:tc>
        <w:tc>
          <w:tcPr>
            <w:tcW w:w="5528" w:type="dxa"/>
          </w:tcPr>
          <w:p w14:paraId="4CB29D46" w14:textId="77777777" w:rsidR="00634244" w:rsidRPr="00634244" w:rsidDel="00F83174" w:rsidRDefault="00634244" w:rsidP="71191A64">
            <w:pPr>
              <w:rPr>
                <w:rFonts w:cs="Arial"/>
              </w:rPr>
            </w:pPr>
          </w:p>
        </w:tc>
      </w:tr>
      <w:tr w:rsidR="00634244" w:rsidRPr="00634244" w:rsidDel="00F83174" w14:paraId="57EDEB9F" w14:textId="77777777" w:rsidTr="1F4DC4CB">
        <w:tc>
          <w:tcPr>
            <w:tcW w:w="3970" w:type="dxa"/>
          </w:tcPr>
          <w:p w14:paraId="24C9EFE9" w14:textId="77777777" w:rsidR="00634244" w:rsidRPr="00634244" w:rsidDel="00F83174" w:rsidRDefault="00634244" w:rsidP="71191A64">
            <w:pPr>
              <w:rPr>
                <w:rFonts w:cs="Arial"/>
                <w:b/>
                <w:bCs/>
              </w:rPr>
            </w:pPr>
            <w:r w:rsidRPr="71191A64">
              <w:rPr>
                <w:rFonts w:cs="Arial"/>
                <w:b/>
                <w:bCs/>
              </w:rPr>
              <w:t>Mobile number:</w:t>
            </w:r>
          </w:p>
        </w:tc>
        <w:tc>
          <w:tcPr>
            <w:tcW w:w="5528" w:type="dxa"/>
          </w:tcPr>
          <w:p w14:paraId="7A17E6EC" w14:textId="77777777" w:rsidR="00634244" w:rsidRDefault="00634244" w:rsidP="71191A64">
            <w:pPr>
              <w:rPr>
                <w:rFonts w:cs="Arial"/>
              </w:rPr>
            </w:pPr>
          </w:p>
          <w:p w14:paraId="72057F34" w14:textId="64610C0B" w:rsidR="00AD6D94" w:rsidRPr="00634244" w:rsidDel="00F83174" w:rsidRDefault="00AD6D94" w:rsidP="71191A64">
            <w:pPr>
              <w:rPr>
                <w:rFonts w:cs="Arial"/>
              </w:rPr>
            </w:pPr>
          </w:p>
        </w:tc>
      </w:tr>
      <w:tr w:rsidR="00634244" w:rsidRPr="00634244" w:rsidDel="00F83174" w14:paraId="3D541F29" w14:textId="77777777" w:rsidTr="1F4DC4CB">
        <w:tc>
          <w:tcPr>
            <w:tcW w:w="3970" w:type="dxa"/>
          </w:tcPr>
          <w:p w14:paraId="5D7504CF" w14:textId="77777777" w:rsidR="00634244" w:rsidRPr="00634244" w:rsidDel="00F83174" w:rsidRDefault="00634244" w:rsidP="71191A64">
            <w:pPr>
              <w:rPr>
                <w:rFonts w:cs="Arial"/>
                <w:b/>
                <w:bCs/>
              </w:rPr>
            </w:pPr>
            <w:r w:rsidRPr="71191A64">
              <w:rPr>
                <w:rFonts w:cs="Arial"/>
                <w:b/>
                <w:bCs/>
              </w:rPr>
              <w:t>Email address:</w:t>
            </w:r>
          </w:p>
        </w:tc>
        <w:tc>
          <w:tcPr>
            <w:tcW w:w="5528" w:type="dxa"/>
          </w:tcPr>
          <w:p w14:paraId="433C5DDE" w14:textId="77777777" w:rsidR="00634244" w:rsidRDefault="00634244" w:rsidP="71191A64">
            <w:pPr>
              <w:rPr>
                <w:rFonts w:cs="Arial"/>
              </w:rPr>
            </w:pPr>
          </w:p>
          <w:p w14:paraId="6D464F11" w14:textId="0202DF47" w:rsidR="00AD6D94" w:rsidRPr="00634244" w:rsidDel="00F83174" w:rsidRDefault="00AD6D94" w:rsidP="71191A64">
            <w:pPr>
              <w:rPr>
                <w:rFonts w:cs="Arial"/>
              </w:rPr>
            </w:pPr>
          </w:p>
        </w:tc>
      </w:tr>
      <w:tr w:rsidR="00634244" w:rsidRPr="00634244" w:rsidDel="00F83174" w14:paraId="23E0EFEC" w14:textId="77777777" w:rsidTr="1F4DC4CB">
        <w:tc>
          <w:tcPr>
            <w:tcW w:w="9498" w:type="dxa"/>
            <w:gridSpan w:val="2"/>
            <w:shd w:val="clear" w:color="auto" w:fill="C6D9F1" w:themeFill="text2" w:themeFillTint="33"/>
          </w:tcPr>
          <w:p w14:paraId="5F3C3598" w14:textId="77777777" w:rsidR="00634244" w:rsidRPr="00227181" w:rsidDel="00F83174" w:rsidRDefault="00634244" w:rsidP="71191A64">
            <w:pPr>
              <w:rPr>
                <w:rFonts w:cs="Arial"/>
              </w:rPr>
            </w:pPr>
            <w:r w:rsidRPr="71191A64">
              <w:rPr>
                <w:rFonts w:cs="Arial"/>
                <w:b/>
                <w:bCs/>
              </w:rPr>
              <w:t>Training Details</w:t>
            </w:r>
          </w:p>
        </w:tc>
      </w:tr>
      <w:tr w:rsidR="00634244" w:rsidRPr="00634244" w:rsidDel="00F83174" w14:paraId="22B05368" w14:textId="77777777" w:rsidTr="1F4DC4CB">
        <w:tc>
          <w:tcPr>
            <w:tcW w:w="3970" w:type="dxa"/>
          </w:tcPr>
          <w:p w14:paraId="0760F333" w14:textId="77777777" w:rsidR="00634244" w:rsidRPr="00634244" w:rsidDel="00F83174" w:rsidRDefault="00634244" w:rsidP="71191A64">
            <w:pPr>
              <w:rPr>
                <w:rFonts w:cs="Arial"/>
                <w:b/>
                <w:bCs/>
              </w:rPr>
            </w:pPr>
            <w:r w:rsidRPr="71191A64">
              <w:rPr>
                <w:rFonts w:cs="Arial"/>
                <w:b/>
                <w:bCs/>
              </w:rPr>
              <w:t>NTN:</w:t>
            </w:r>
          </w:p>
        </w:tc>
        <w:tc>
          <w:tcPr>
            <w:tcW w:w="5528" w:type="dxa"/>
          </w:tcPr>
          <w:p w14:paraId="0E8B4FCF" w14:textId="77777777" w:rsidR="00634244" w:rsidRDefault="00634244" w:rsidP="71191A64">
            <w:pPr>
              <w:rPr>
                <w:rFonts w:cs="Arial"/>
              </w:rPr>
            </w:pPr>
          </w:p>
          <w:p w14:paraId="2D5EA36D" w14:textId="7DE9D488" w:rsidR="00AD6D94" w:rsidRPr="00634244" w:rsidDel="00F83174" w:rsidRDefault="00AD6D94" w:rsidP="71191A64">
            <w:pPr>
              <w:rPr>
                <w:rFonts w:cs="Arial"/>
              </w:rPr>
            </w:pPr>
          </w:p>
        </w:tc>
      </w:tr>
      <w:tr w:rsidR="00634244" w:rsidRPr="00634244" w:rsidDel="00F83174" w14:paraId="3C3F2849" w14:textId="77777777" w:rsidTr="1F4DC4CB">
        <w:tc>
          <w:tcPr>
            <w:tcW w:w="3970" w:type="dxa"/>
          </w:tcPr>
          <w:p w14:paraId="617C8935" w14:textId="77777777" w:rsidR="00634244" w:rsidRPr="00634244" w:rsidDel="00F83174" w:rsidRDefault="00634244" w:rsidP="71191A64">
            <w:pPr>
              <w:rPr>
                <w:rFonts w:cs="Arial"/>
                <w:b/>
                <w:bCs/>
              </w:rPr>
            </w:pPr>
            <w:r w:rsidRPr="71191A64">
              <w:rPr>
                <w:rFonts w:cs="Arial"/>
                <w:b/>
                <w:bCs/>
              </w:rPr>
              <w:t>Training Specialty:</w:t>
            </w:r>
          </w:p>
        </w:tc>
        <w:tc>
          <w:tcPr>
            <w:tcW w:w="5528" w:type="dxa"/>
          </w:tcPr>
          <w:p w14:paraId="2CA5222D" w14:textId="77777777" w:rsidR="00634244" w:rsidRDefault="00634244" w:rsidP="71191A64">
            <w:pPr>
              <w:rPr>
                <w:rFonts w:cs="Arial"/>
              </w:rPr>
            </w:pPr>
          </w:p>
          <w:p w14:paraId="01A89A96" w14:textId="118168FB" w:rsidR="00AD6D94" w:rsidRPr="00634244" w:rsidDel="00F83174" w:rsidRDefault="00AD6D94" w:rsidP="71191A64">
            <w:pPr>
              <w:rPr>
                <w:rFonts w:cs="Arial"/>
              </w:rPr>
            </w:pPr>
          </w:p>
        </w:tc>
      </w:tr>
      <w:tr w:rsidR="00634244" w:rsidRPr="00634244" w:rsidDel="00F83174" w14:paraId="3D992E2A" w14:textId="77777777" w:rsidTr="1F4DC4CB">
        <w:tc>
          <w:tcPr>
            <w:tcW w:w="3970" w:type="dxa"/>
          </w:tcPr>
          <w:p w14:paraId="5DF95069" w14:textId="1D2A27B7" w:rsidR="00634244" w:rsidRPr="00634244" w:rsidDel="00F83174" w:rsidRDefault="00634244" w:rsidP="1F4DC4CB">
            <w:pPr>
              <w:rPr>
                <w:rFonts w:cs="Arial"/>
                <w:b/>
                <w:bCs/>
              </w:rPr>
            </w:pPr>
            <w:r w:rsidRPr="1F4DC4CB">
              <w:rPr>
                <w:rFonts w:cs="Arial"/>
                <w:b/>
                <w:bCs/>
              </w:rPr>
              <w:t>Expected CCT</w:t>
            </w:r>
            <w:r w:rsidRPr="00F831EF">
              <w:rPr>
                <w:rFonts w:cs="Arial"/>
                <w:b/>
                <w:bCs/>
              </w:rPr>
              <w:t>/</w:t>
            </w:r>
            <w:r w:rsidR="1F4DC4CB" w:rsidRPr="00F831EF">
              <w:rPr>
                <w:rFonts w:eastAsia="Arial" w:cs="Arial"/>
              </w:rPr>
              <w:t xml:space="preserve"> or CCT via</w:t>
            </w:r>
            <w:r w:rsidR="1F4DC4CB" w:rsidRPr="00F831EF">
              <w:rPr>
                <w:rFonts w:cs="Arial"/>
                <w:b/>
                <w:bCs/>
              </w:rPr>
              <w:t xml:space="preserve"> </w:t>
            </w:r>
            <w:r w:rsidRPr="00F831EF">
              <w:rPr>
                <w:rFonts w:cs="Arial"/>
                <w:b/>
                <w:bCs/>
              </w:rPr>
              <w:t>CESR(CP) Date:</w:t>
            </w:r>
          </w:p>
        </w:tc>
        <w:tc>
          <w:tcPr>
            <w:tcW w:w="5528" w:type="dxa"/>
          </w:tcPr>
          <w:p w14:paraId="2EAF36AE" w14:textId="77777777" w:rsidR="00634244" w:rsidRDefault="00634244" w:rsidP="71191A64">
            <w:pPr>
              <w:rPr>
                <w:rFonts w:cs="Arial"/>
              </w:rPr>
            </w:pPr>
          </w:p>
          <w:p w14:paraId="408EB3EC" w14:textId="561CECA4" w:rsidR="00AD6D94" w:rsidRPr="00634244" w:rsidDel="00F83174" w:rsidRDefault="00AD6D94" w:rsidP="71191A64">
            <w:pPr>
              <w:rPr>
                <w:rFonts w:cs="Arial"/>
              </w:rPr>
            </w:pPr>
          </w:p>
        </w:tc>
      </w:tr>
      <w:tr w:rsidR="00634244" w:rsidRPr="00634244" w:rsidDel="00F83174" w14:paraId="67EEB010" w14:textId="77777777" w:rsidTr="1F4DC4CB">
        <w:tc>
          <w:tcPr>
            <w:tcW w:w="3970" w:type="dxa"/>
          </w:tcPr>
          <w:p w14:paraId="388CDB66" w14:textId="77777777" w:rsidR="00634244" w:rsidRPr="00634244" w:rsidDel="00F83174" w:rsidRDefault="00634244" w:rsidP="71191A64">
            <w:pPr>
              <w:rPr>
                <w:rFonts w:cs="Arial"/>
                <w:b/>
                <w:bCs/>
              </w:rPr>
            </w:pPr>
            <w:r w:rsidRPr="71191A64">
              <w:rPr>
                <w:rFonts w:cs="Arial"/>
                <w:b/>
                <w:bCs/>
              </w:rPr>
              <w:t>Scheduled ARCP Date:</w:t>
            </w:r>
          </w:p>
        </w:tc>
        <w:tc>
          <w:tcPr>
            <w:tcW w:w="5528" w:type="dxa"/>
          </w:tcPr>
          <w:p w14:paraId="0B744789" w14:textId="77777777" w:rsidR="00634244" w:rsidRDefault="00634244" w:rsidP="71191A64">
            <w:pPr>
              <w:rPr>
                <w:rFonts w:cs="Arial"/>
              </w:rPr>
            </w:pPr>
          </w:p>
          <w:p w14:paraId="0EC99F3D" w14:textId="12D188A8" w:rsidR="00AD6D94" w:rsidRPr="00634244" w:rsidDel="00F83174" w:rsidRDefault="00AD6D94" w:rsidP="71191A64">
            <w:pPr>
              <w:rPr>
                <w:rFonts w:cs="Arial"/>
              </w:rPr>
            </w:pPr>
          </w:p>
        </w:tc>
      </w:tr>
      <w:tr w:rsidR="00634244" w:rsidRPr="00634244" w:rsidDel="00F83174" w14:paraId="0E4032C7" w14:textId="77777777" w:rsidTr="1F4DC4CB">
        <w:tc>
          <w:tcPr>
            <w:tcW w:w="3970" w:type="dxa"/>
          </w:tcPr>
          <w:p w14:paraId="4AE54BE6" w14:textId="77777777" w:rsidR="00634244" w:rsidRPr="00634244" w:rsidDel="00F83174" w:rsidRDefault="00634244" w:rsidP="71191A64">
            <w:pPr>
              <w:rPr>
                <w:rFonts w:cs="Arial"/>
                <w:b/>
                <w:bCs/>
              </w:rPr>
            </w:pPr>
            <w:r w:rsidRPr="71191A64">
              <w:rPr>
                <w:rFonts w:cs="Arial"/>
                <w:b/>
                <w:bCs/>
              </w:rPr>
              <w:t>Final Placement Trust:</w:t>
            </w:r>
          </w:p>
        </w:tc>
        <w:tc>
          <w:tcPr>
            <w:tcW w:w="5528" w:type="dxa"/>
          </w:tcPr>
          <w:p w14:paraId="3714145E" w14:textId="77777777" w:rsidR="00634244" w:rsidRDefault="00634244" w:rsidP="71191A64">
            <w:pPr>
              <w:rPr>
                <w:rFonts w:cs="Arial"/>
              </w:rPr>
            </w:pPr>
          </w:p>
          <w:p w14:paraId="599D9A95" w14:textId="06E91695" w:rsidR="00AD6D94" w:rsidRPr="00634244" w:rsidDel="00F83174" w:rsidRDefault="00AD6D94" w:rsidP="71191A64">
            <w:pPr>
              <w:rPr>
                <w:rFonts w:cs="Arial"/>
              </w:rPr>
            </w:pPr>
          </w:p>
        </w:tc>
      </w:tr>
      <w:tr w:rsidR="00634244" w:rsidRPr="00634244" w:rsidDel="00F83174" w14:paraId="6BA23E56" w14:textId="77777777" w:rsidTr="1F4DC4CB">
        <w:tc>
          <w:tcPr>
            <w:tcW w:w="9498" w:type="dxa"/>
            <w:gridSpan w:val="2"/>
            <w:shd w:val="clear" w:color="auto" w:fill="C6D9F1" w:themeFill="text2" w:themeFillTint="33"/>
          </w:tcPr>
          <w:p w14:paraId="4FE8BE4E" w14:textId="77777777" w:rsidR="00634244" w:rsidRPr="00227181" w:rsidRDefault="00634244" w:rsidP="71191A64">
            <w:pPr>
              <w:rPr>
                <w:rFonts w:cs="Arial"/>
              </w:rPr>
            </w:pPr>
            <w:r w:rsidRPr="71191A64">
              <w:rPr>
                <w:rFonts w:cs="Arial"/>
                <w:b/>
                <w:bCs/>
              </w:rPr>
              <w:t>Intention to take up a Period of Grace</w:t>
            </w:r>
            <w:r w:rsidRPr="71191A64">
              <w:rPr>
                <w:rFonts w:cs="Arial"/>
              </w:rPr>
              <w:t xml:space="preserve"> </w:t>
            </w:r>
          </w:p>
          <w:p w14:paraId="2ED99127" w14:textId="51807C6B" w:rsidR="00634244" w:rsidRPr="00634244" w:rsidDel="00F83174" w:rsidRDefault="00634244" w:rsidP="1F4DC4CB">
            <w:pPr>
              <w:rPr>
                <w:rFonts w:cs="Arial"/>
                <w:b/>
                <w:bCs/>
              </w:rPr>
            </w:pPr>
            <w:r w:rsidRPr="1F4DC4CB">
              <w:rPr>
                <w:rFonts w:cs="Arial"/>
                <w:i/>
                <w:iCs/>
              </w:rPr>
              <w:t xml:space="preserve">Please indicate below whether or not you </w:t>
            </w:r>
            <w:r w:rsidRPr="00F831EF">
              <w:rPr>
                <w:rFonts w:cs="Arial"/>
                <w:i/>
                <w:iCs/>
              </w:rPr>
              <w:t>intend to take up the offer of a Period of Grace commencing from your expected CCT/</w:t>
            </w:r>
            <w:r w:rsidR="1F4DC4CB" w:rsidRPr="00F831EF">
              <w:rPr>
                <w:rFonts w:eastAsia="Arial" w:cs="Arial"/>
              </w:rPr>
              <w:t xml:space="preserve"> or CCT via</w:t>
            </w:r>
            <w:r w:rsidR="1F4DC4CB" w:rsidRPr="00F831EF">
              <w:rPr>
                <w:rFonts w:cs="Arial"/>
                <w:i/>
                <w:iCs/>
              </w:rPr>
              <w:t xml:space="preserve"> </w:t>
            </w:r>
            <w:r w:rsidRPr="00F831EF">
              <w:rPr>
                <w:rFonts w:cs="Arial"/>
                <w:i/>
                <w:iCs/>
              </w:rPr>
              <w:t>CESR</w:t>
            </w:r>
            <w:r w:rsidRPr="1F4DC4CB">
              <w:rPr>
                <w:rFonts w:cs="Arial"/>
                <w:i/>
                <w:iCs/>
              </w:rPr>
              <w:t>(CP).</w:t>
            </w:r>
          </w:p>
        </w:tc>
      </w:tr>
      <w:tr w:rsidR="00634244" w:rsidRPr="00634244" w:rsidDel="00F83174" w14:paraId="3DC80424" w14:textId="77777777" w:rsidTr="1F4DC4CB">
        <w:tc>
          <w:tcPr>
            <w:tcW w:w="9498" w:type="dxa"/>
            <w:gridSpan w:val="2"/>
          </w:tcPr>
          <w:p w14:paraId="4A3E59C9" w14:textId="77777777" w:rsidR="00634244" w:rsidRPr="00634244" w:rsidRDefault="00634244" w:rsidP="71191A64">
            <w:pPr>
              <w:rPr>
                <w:rFonts w:cs="Arial"/>
              </w:rPr>
            </w:pPr>
          </w:p>
          <w:p w14:paraId="55074744" w14:textId="6DE062E7" w:rsidR="00634244" w:rsidRPr="00F831EF" w:rsidRDefault="00000000" w:rsidP="1F4DC4CB">
            <w:pPr>
              <w:rPr>
                <w:rFonts w:cs="Arial"/>
                <w:i/>
                <w:iCs/>
              </w:rPr>
            </w:pPr>
            <w:sdt>
              <w:sdtPr>
                <w:rPr>
                  <w:rFonts w:cs="Arial"/>
                  <w:b/>
                  <w:bCs/>
                  <w:sz w:val="20"/>
                  <w:szCs w:val="20"/>
                </w:rPr>
                <w:id w:val="364795860"/>
                <w:placeholder>
                  <w:docPart w:val="DefaultPlaceholder_1081868574"/>
                </w:placeholder>
                <w14:checkbox>
                  <w14:checked w14:val="0"/>
                  <w14:checkedState w14:val="2612" w14:font="MS Gothic"/>
                  <w14:uncheckedState w14:val="2610" w14:font="MS Gothic"/>
                </w14:checkbox>
              </w:sdtPr>
              <w:sdtContent>
                <w:r w:rsidR="00634244" w:rsidRPr="71191A64">
                  <w:rPr>
                    <w:rFonts w:ascii="Segoe UI Symbol" w:eastAsia="MS Gothic" w:hAnsi="Segoe UI Symbol" w:cs="Segoe UI Symbol"/>
                    <w:b/>
                    <w:bCs/>
                    <w:sz w:val="20"/>
                    <w:szCs w:val="20"/>
                  </w:rPr>
                  <w:t>☐</w:t>
                </w:r>
              </w:sdtContent>
            </w:sdt>
            <w:r w:rsidR="00634244" w:rsidRPr="71191A64">
              <w:rPr>
                <w:rFonts w:cs="Arial"/>
                <w:b/>
                <w:bCs/>
                <w:sz w:val="20"/>
                <w:szCs w:val="20"/>
              </w:rPr>
              <w:t xml:space="preserve">   I confirm that I intend to take up the offer of a Period of Grace to commence from the expected </w:t>
            </w:r>
            <w:r w:rsidR="00634244" w:rsidRPr="00F831EF">
              <w:rPr>
                <w:rFonts w:cs="Arial"/>
                <w:b/>
                <w:bCs/>
                <w:sz w:val="20"/>
                <w:szCs w:val="20"/>
              </w:rPr>
              <w:t>CCT/</w:t>
            </w:r>
            <w:r w:rsidR="1F4DC4CB" w:rsidRPr="00F831EF">
              <w:rPr>
                <w:rFonts w:eastAsia="Arial" w:cs="Arial"/>
              </w:rPr>
              <w:t xml:space="preserve"> or CCT via</w:t>
            </w:r>
            <w:r w:rsidR="1F4DC4CB" w:rsidRPr="00F831EF">
              <w:rPr>
                <w:rFonts w:cs="Arial"/>
                <w:b/>
                <w:bCs/>
                <w:sz w:val="20"/>
                <w:szCs w:val="20"/>
              </w:rPr>
              <w:t xml:space="preserve"> </w:t>
            </w:r>
            <w:r w:rsidR="00634244" w:rsidRPr="00F831EF">
              <w:rPr>
                <w:rFonts w:cs="Arial"/>
                <w:b/>
                <w:bCs/>
                <w:sz w:val="20"/>
                <w:szCs w:val="20"/>
              </w:rPr>
              <w:t>CESR</w:t>
            </w:r>
            <w:r w:rsidR="00634244" w:rsidRPr="71191A64">
              <w:rPr>
                <w:rFonts w:cs="Arial"/>
                <w:b/>
                <w:bCs/>
                <w:sz w:val="20"/>
                <w:szCs w:val="20"/>
              </w:rPr>
              <w:t xml:space="preserve">(CP) date stated above subject to satisfactory ARCP outcome. I understand that I will be required to work the </w:t>
            </w:r>
            <w:r w:rsidR="7E9707E1" w:rsidRPr="71191A64">
              <w:rPr>
                <w:rFonts w:cs="Arial"/>
                <w:b/>
                <w:bCs/>
                <w:sz w:val="20"/>
                <w:szCs w:val="20"/>
              </w:rPr>
              <w:t>required</w:t>
            </w:r>
            <w:r w:rsidR="00634244" w:rsidRPr="71191A64">
              <w:rPr>
                <w:rFonts w:cs="Arial"/>
                <w:b/>
                <w:bCs/>
                <w:sz w:val="20"/>
                <w:szCs w:val="20"/>
              </w:rPr>
              <w:t xml:space="preserve"> notice period with the arranged employing trust commencing on the expected CCT/</w:t>
            </w:r>
            <w:r w:rsidR="1F4DC4CB" w:rsidRPr="1F4DC4CB">
              <w:rPr>
                <w:rFonts w:eastAsia="Arial" w:cs="Arial"/>
                <w:color w:val="FF0000"/>
              </w:rPr>
              <w:t xml:space="preserve"> </w:t>
            </w:r>
            <w:r w:rsidR="1F4DC4CB" w:rsidRPr="00B62EDE">
              <w:rPr>
                <w:rFonts w:eastAsia="Arial" w:cs="Arial"/>
                <w:b/>
                <w:bCs/>
                <w:sz w:val="20"/>
                <w:szCs w:val="20"/>
              </w:rPr>
              <w:t>or CCT via</w:t>
            </w:r>
            <w:r w:rsidR="1F4DC4CB" w:rsidRPr="00B62EDE">
              <w:rPr>
                <w:rFonts w:cs="Arial"/>
                <w:b/>
                <w:bCs/>
                <w:sz w:val="16"/>
                <w:szCs w:val="16"/>
              </w:rPr>
              <w:t xml:space="preserve"> </w:t>
            </w:r>
            <w:r w:rsidR="00634244" w:rsidRPr="00F831EF">
              <w:rPr>
                <w:rFonts w:cs="Arial"/>
                <w:b/>
                <w:bCs/>
                <w:sz w:val="20"/>
                <w:szCs w:val="20"/>
              </w:rPr>
              <w:t xml:space="preserve">CESR(CP) date should I subsequently wish to resign from the post </w:t>
            </w:r>
            <w:r w:rsidR="00634244" w:rsidRPr="00F831EF">
              <w:rPr>
                <w:rFonts w:cs="Arial"/>
                <w:i/>
                <w:iCs/>
                <w:sz w:val="20"/>
                <w:szCs w:val="20"/>
              </w:rPr>
              <w:t>(please attach an additional sheet should you wish to submit any supporting information to be considered by the TPDs in the allocation of your post)</w:t>
            </w:r>
          </w:p>
          <w:p w14:paraId="1345CDFA" w14:textId="77777777" w:rsidR="00634244" w:rsidRPr="00F831EF" w:rsidRDefault="00634244" w:rsidP="71191A64">
            <w:pPr>
              <w:rPr>
                <w:rFonts w:cs="Arial"/>
                <w:b/>
                <w:bCs/>
              </w:rPr>
            </w:pPr>
          </w:p>
          <w:p w14:paraId="77FBB43A" w14:textId="2E4094A7" w:rsidR="00634244" w:rsidRPr="00F831EF" w:rsidRDefault="00000000" w:rsidP="1F4DC4CB">
            <w:pPr>
              <w:rPr>
                <w:rFonts w:cs="Arial"/>
                <w:b/>
                <w:bCs/>
              </w:rPr>
            </w:pPr>
            <w:sdt>
              <w:sdtPr>
                <w:rPr>
                  <w:rFonts w:cs="Arial"/>
                  <w:b/>
                  <w:bCs/>
                  <w:sz w:val="20"/>
                  <w:szCs w:val="20"/>
                </w:rPr>
                <w:id w:val="-985773833"/>
                <w:placeholder>
                  <w:docPart w:val="DefaultPlaceholder_1081868574"/>
                </w:placeholder>
                <w14:checkbox>
                  <w14:checked w14:val="0"/>
                  <w14:checkedState w14:val="2612" w14:font="MS Gothic"/>
                  <w14:uncheckedState w14:val="2610" w14:font="MS Gothic"/>
                </w14:checkbox>
              </w:sdtPr>
              <w:sdtContent>
                <w:r w:rsidR="00634244" w:rsidRPr="00F831EF">
                  <w:rPr>
                    <w:rFonts w:ascii="Segoe UI Symbol" w:eastAsia="MS Gothic" w:hAnsi="Segoe UI Symbol" w:cs="Segoe UI Symbol"/>
                    <w:b/>
                    <w:bCs/>
                    <w:sz w:val="20"/>
                    <w:szCs w:val="20"/>
                  </w:rPr>
                  <w:t>☐</w:t>
                </w:r>
              </w:sdtContent>
            </w:sdt>
            <w:r w:rsidR="00634244" w:rsidRPr="00F831EF">
              <w:rPr>
                <w:rFonts w:cs="Arial"/>
                <w:b/>
                <w:bCs/>
                <w:sz w:val="20"/>
                <w:szCs w:val="20"/>
              </w:rPr>
              <w:t xml:space="preserve">   I confirm that I do not wish to take up the offer of a Period of Grace following </w:t>
            </w:r>
            <w:r w:rsidR="6C6BA8F9" w:rsidRPr="00F831EF">
              <w:rPr>
                <w:b/>
                <w:bCs/>
                <w:sz w:val="20"/>
                <w:szCs w:val="20"/>
              </w:rPr>
              <w:t xml:space="preserve">the award of an outcome 6 at my next ARCP and </w:t>
            </w:r>
            <w:r w:rsidR="00634244" w:rsidRPr="00F831EF">
              <w:rPr>
                <w:rFonts w:cs="Arial"/>
                <w:b/>
                <w:bCs/>
                <w:sz w:val="20"/>
                <w:szCs w:val="20"/>
              </w:rPr>
              <w:t xml:space="preserve">the award of </w:t>
            </w:r>
            <w:r w:rsidR="00634244" w:rsidRPr="00B62EDE">
              <w:rPr>
                <w:rFonts w:cs="Arial"/>
                <w:b/>
                <w:bCs/>
                <w:sz w:val="20"/>
                <w:szCs w:val="20"/>
              </w:rPr>
              <w:t>CCT/</w:t>
            </w:r>
            <w:r w:rsidR="1F4DC4CB" w:rsidRPr="00B62EDE">
              <w:rPr>
                <w:rFonts w:eastAsia="Arial" w:cs="Arial"/>
                <w:b/>
                <w:bCs/>
                <w:sz w:val="20"/>
                <w:szCs w:val="20"/>
              </w:rPr>
              <w:t xml:space="preserve"> or CCT via</w:t>
            </w:r>
            <w:r w:rsidR="1F4DC4CB" w:rsidRPr="00B62EDE">
              <w:rPr>
                <w:rFonts w:cs="Arial"/>
                <w:b/>
                <w:bCs/>
                <w:sz w:val="20"/>
                <w:szCs w:val="20"/>
              </w:rPr>
              <w:t xml:space="preserve"> </w:t>
            </w:r>
            <w:r w:rsidR="00634244" w:rsidRPr="00B62EDE">
              <w:rPr>
                <w:rFonts w:cs="Arial"/>
                <w:b/>
                <w:bCs/>
                <w:sz w:val="20"/>
                <w:szCs w:val="20"/>
              </w:rPr>
              <w:t>CESR(CP). I understand that I will therefore relinquish my NTN on the date of CCT/</w:t>
            </w:r>
            <w:r w:rsidR="1F4DC4CB" w:rsidRPr="00B62EDE">
              <w:rPr>
                <w:rFonts w:eastAsia="Arial" w:cs="Arial"/>
                <w:b/>
                <w:bCs/>
                <w:sz w:val="20"/>
                <w:szCs w:val="20"/>
              </w:rPr>
              <w:t xml:space="preserve"> or CCT via</w:t>
            </w:r>
            <w:r w:rsidR="1F4DC4CB" w:rsidRPr="00B62EDE">
              <w:rPr>
                <w:rFonts w:cs="Arial"/>
                <w:b/>
                <w:bCs/>
                <w:sz w:val="20"/>
                <w:szCs w:val="20"/>
              </w:rPr>
              <w:t xml:space="preserve"> </w:t>
            </w:r>
            <w:r w:rsidR="00634244" w:rsidRPr="00B62EDE">
              <w:rPr>
                <w:rFonts w:cs="Arial"/>
                <w:b/>
                <w:bCs/>
                <w:sz w:val="20"/>
                <w:szCs w:val="20"/>
              </w:rPr>
              <w:t>CESR</w:t>
            </w:r>
            <w:r w:rsidR="00634244" w:rsidRPr="00F831EF">
              <w:rPr>
                <w:rFonts w:cs="Arial"/>
                <w:b/>
                <w:bCs/>
                <w:sz w:val="20"/>
                <w:szCs w:val="20"/>
              </w:rPr>
              <w:t xml:space="preserve">(CP) and will not be able to return to a training post in this specialty </w:t>
            </w:r>
          </w:p>
          <w:p w14:paraId="0E3E0F0F" w14:textId="77777777" w:rsidR="00634244" w:rsidRPr="00F831EF" w:rsidRDefault="00634244" w:rsidP="71191A64">
            <w:pPr>
              <w:rPr>
                <w:rFonts w:cs="Arial"/>
                <w:b/>
                <w:bCs/>
              </w:rPr>
            </w:pPr>
          </w:p>
          <w:p w14:paraId="7DD45AD5" w14:textId="55570F3E" w:rsidR="00634244" w:rsidRPr="00F831EF" w:rsidRDefault="00634244" w:rsidP="71191A64">
            <w:pPr>
              <w:rPr>
                <w:rFonts w:cs="Arial"/>
                <w:b/>
                <w:bCs/>
              </w:rPr>
            </w:pPr>
            <w:r w:rsidRPr="00F831EF">
              <w:rPr>
                <w:rFonts w:cs="Arial"/>
                <w:b/>
                <w:bCs/>
              </w:rPr>
              <w:t xml:space="preserve">I declare that the information given on this form is </w:t>
            </w:r>
            <w:r w:rsidR="00227181" w:rsidRPr="00F831EF">
              <w:rPr>
                <w:rFonts w:cs="Arial"/>
                <w:b/>
                <w:bCs/>
              </w:rPr>
              <w:t>c</w:t>
            </w:r>
            <w:r w:rsidRPr="00F831EF">
              <w:rPr>
                <w:rFonts w:cs="Arial"/>
                <w:b/>
                <w:bCs/>
              </w:rPr>
              <w:t>orrect.</w:t>
            </w:r>
          </w:p>
          <w:p w14:paraId="56AD99E9" w14:textId="77777777" w:rsidR="00634244" w:rsidRPr="00F831EF" w:rsidRDefault="00634244" w:rsidP="71191A64">
            <w:pPr>
              <w:rPr>
                <w:rFonts w:cs="Arial"/>
                <w:b/>
                <w:bCs/>
              </w:rPr>
            </w:pPr>
          </w:p>
          <w:p w14:paraId="5CF65549" w14:textId="77777777" w:rsidR="00634244" w:rsidRPr="00F831EF" w:rsidRDefault="00634244" w:rsidP="71191A64">
            <w:pPr>
              <w:rPr>
                <w:rFonts w:cs="Arial"/>
                <w:b/>
                <w:bCs/>
              </w:rPr>
            </w:pPr>
            <w:r w:rsidRPr="00F831EF">
              <w:rPr>
                <w:rFonts w:cs="Arial"/>
                <w:b/>
                <w:bCs/>
              </w:rPr>
              <w:t>Trainee Signature:</w:t>
            </w:r>
            <w:r w:rsidRPr="00F831EF">
              <w:tab/>
            </w:r>
            <w:r w:rsidRPr="00F831EF">
              <w:tab/>
            </w:r>
            <w:r w:rsidRPr="00F831EF">
              <w:tab/>
            </w:r>
            <w:r w:rsidRPr="00F831EF">
              <w:tab/>
            </w:r>
            <w:r w:rsidRPr="00F831EF">
              <w:tab/>
            </w:r>
            <w:r w:rsidRPr="00F831EF">
              <w:tab/>
            </w:r>
            <w:r w:rsidRPr="00F831EF">
              <w:tab/>
            </w:r>
            <w:r w:rsidRPr="00F831EF">
              <w:rPr>
                <w:rFonts w:cs="Arial"/>
                <w:b/>
                <w:bCs/>
              </w:rPr>
              <w:t xml:space="preserve">Date: </w:t>
            </w:r>
          </w:p>
          <w:p w14:paraId="7132C2F5" w14:textId="77777777" w:rsidR="00634244" w:rsidRPr="00634244" w:rsidRDefault="00634244" w:rsidP="71191A64">
            <w:pPr>
              <w:jc w:val="right"/>
              <w:rPr>
                <w:rFonts w:cs="Arial"/>
                <w:b/>
                <w:bCs/>
              </w:rPr>
            </w:pPr>
          </w:p>
          <w:p w14:paraId="75684FBD" w14:textId="34DCBD85" w:rsidR="00634244" w:rsidRPr="00634244" w:rsidDel="00F83174" w:rsidRDefault="00634244" w:rsidP="71191A64">
            <w:pPr>
              <w:rPr>
                <w:b/>
                <w:bCs/>
              </w:rPr>
            </w:pPr>
          </w:p>
        </w:tc>
      </w:tr>
    </w:tbl>
    <w:p w14:paraId="3D53A3EF" w14:textId="77777777" w:rsidR="00634244" w:rsidRPr="00634244" w:rsidRDefault="00634244" w:rsidP="71191A64">
      <w:pPr>
        <w:rPr>
          <w:rFonts w:cs="Arial"/>
          <w:color w:val="FF0000"/>
        </w:rPr>
      </w:pPr>
      <w:r w:rsidRPr="71191A64">
        <w:rPr>
          <w:rFonts w:cs="Arial"/>
          <w:b/>
          <w:bCs/>
          <w:i/>
          <w:iCs/>
        </w:rPr>
        <w:t xml:space="preserve">Please return this form to </w:t>
      </w:r>
      <w:r w:rsidRPr="71191A64">
        <w:rPr>
          <w:rFonts w:cs="Arial"/>
          <w:b/>
          <w:bCs/>
          <w:i/>
          <w:iCs/>
          <w:color w:val="FF0000"/>
        </w:rPr>
        <w:t>xxxxxxxx</w:t>
      </w:r>
    </w:p>
    <w:p w14:paraId="4CC4CCE8" w14:textId="77777777" w:rsidR="00634244" w:rsidRPr="00634244" w:rsidRDefault="00634244" w:rsidP="00634244">
      <w:pPr>
        <w:rPr>
          <w:rFonts w:cs="Arial"/>
          <w:sz w:val="20"/>
          <w:szCs w:val="20"/>
        </w:rPr>
      </w:pPr>
    </w:p>
    <w:p w14:paraId="2A454710" w14:textId="34D0E882" w:rsidR="00634244" w:rsidRDefault="00634244" w:rsidP="71191A64"/>
    <w:p w14:paraId="6055EC87" w14:textId="77777777" w:rsidR="00634244" w:rsidRDefault="00634244" w:rsidP="00EB0903">
      <w:pPr>
        <w:rPr>
          <w:rFonts w:cs="Arial"/>
          <w:b/>
          <w:sz w:val="20"/>
          <w:szCs w:val="20"/>
        </w:rPr>
      </w:pPr>
    </w:p>
    <w:sectPr w:rsidR="00634244" w:rsidSect="00F8271B">
      <w:headerReference w:type="default" r:id="rId13"/>
      <w:footerReference w:type="even" r:id="rId14"/>
      <w:footerReference w:type="default" r:id="rId15"/>
      <w:headerReference w:type="first" r:id="rId16"/>
      <w:pgSz w:w="11900" w:h="16840"/>
      <w:pgMar w:top="1402"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A6FB" w14:textId="77777777" w:rsidR="00D73939" w:rsidRDefault="00D73939">
      <w:r>
        <w:separator/>
      </w:r>
    </w:p>
  </w:endnote>
  <w:endnote w:type="continuationSeparator" w:id="0">
    <w:p w14:paraId="5DC12055" w14:textId="77777777" w:rsidR="00D73939" w:rsidRDefault="00D73939">
      <w:r>
        <w:continuationSeparator/>
      </w:r>
    </w:p>
  </w:endnote>
  <w:endnote w:type="continuationNotice" w:id="1">
    <w:p w14:paraId="51645DBB" w14:textId="77777777" w:rsidR="00D73939" w:rsidRDefault="00D7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5550" w14:textId="77777777" w:rsidR="00A5689F" w:rsidRDefault="00B8578F" w:rsidP="00A568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5DE0A" w14:textId="77777777" w:rsidR="00A5689F" w:rsidRDefault="00A5689F" w:rsidP="00A5689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0699" w14:textId="3E2492A6" w:rsidR="00A5689F" w:rsidRPr="0091039C" w:rsidRDefault="00B8578F" w:rsidP="00A5689F">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2F4C64">
      <w:rPr>
        <w:rStyle w:val="PageNumber"/>
        <w:noProof/>
        <w:color w:val="7F7F7F" w:themeColor="text1" w:themeTint="80"/>
      </w:rPr>
      <w:t>2</w:t>
    </w:r>
    <w:r w:rsidRPr="0091039C">
      <w:rPr>
        <w:rStyle w:val="PageNumber"/>
        <w:color w:val="7F7F7F" w:themeColor="text1" w:themeTint="80"/>
      </w:rPr>
      <w:fldChar w:fldCharType="end"/>
    </w:r>
  </w:p>
  <w:p w14:paraId="2736C252" w14:textId="77777777" w:rsidR="00A5689F" w:rsidRDefault="00A5689F" w:rsidP="00A5689F">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EE1C" w14:textId="77777777" w:rsidR="00D73939" w:rsidRDefault="00D73939">
      <w:r>
        <w:separator/>
      </w:r>
    </w:p>
  </w:footnote>
  <w:footnote w:type="continuationSeparator" w:id="0">
    <w:p w14:paraId="58051916" w14:textId="77777777" w:rsidR="00D73939" w:rsidRDefault="00D73939">
      <w:r>
        <w:continuationSeparator/>
      </w:r>
    </w:p>
  </w:footnote>
  <w:footnote w:type="continuationNotice" w:id="1">
    <w:p w14:paraId="5E7ED236" w14:textId="77777777" w:rsidR="00D73939" w:rsidRDefault="00D73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B533" w14:textId="4DEA7FDF" w:rsidR="00F8271B" w:rsidRDefault="00593025">
    <w:pPr>
      <w:pStyle w:val="Header"/>
    </w:pPr>
    <w:r>
      <w:rPr>
        <w:noProof/>
      </w:rPr>
      <w:drawing>
        <wp:anchor distT="0" distB="0" distL="114300" distR="114300" simplePos="0" relativeHeight="251660288" behindDoc="1" locked="0" layoutInCell="1" allowOverlap="1" wp14:anchorId="38386408" wp14:editId="7910FED5">
          <wp:simplePos x="0" y="0"/>
          <wp:positionH relativeFrom="page">
            <wp:posOffset>6328934</wp:posOffset>
          </wp:positionH>
          <wp:positionV relativeFrom="page">
            <wp:posOffset>73798</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E13E" w14:textId="77777777" w:rsidR="00A5689F" w:rsidRDefault="00B8578F">
    <w:pPr>
      <w:pStyle w:val="Header"/>
    </w:pPr>
    <w:r>
      <w:rPr>
        <w:noProof/>
        <w:lang w:eastAsia="en-GB"/>
      </w:rPr>
      <w:drawing>
        <wp:anchor distT="0" distB="0" distL="114300" distR="114300" simplePos="0" relativeHeight="251658240" behindDoc="0" locked="0" layoutInCell="1" allowOverlap="0" wp14:anchorId="274D4474" wp14:editId="383AB3C7">
          <wp:simplePos x="0" y="0"/>
          <wp:positionH relativeFrom="page">
            <wp:posOffset>4360545</wp:posOffset>
          </wp:positionH>
          <wp:positionV relativeFrom="page">
            <wp:posOffset>238922</wp:posOffset>
          </wp:positionV>
          <wp:extent cx="2788920" cy="6521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7C2"/>
    <w:multiLevelType w:val="hybridMultilevel"/>
    <w:tmpl w:val="0F2A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1242C"/>
    <w:multiLevelType w:val="hybridMultilevel"/>
    <w:tmpl w:val="FFFFFFFF"/>
    <w:lvl w:ilvl="0" w:tplc="D714A8E4">
      <w:start w:val="1"/>
      <w:numFmt w:val="bullet"/>
      <w:lvlText w:val="-"/>
      <w:lvlJc w:val="left"/>
      <w:pPr>
        <w:ind w:left="720" w:hanging="360"/>
      </w:pPr>
      <w:rPr>
        <w:rFonts w:ascii="Calibri" w:hAnsi="Calibri" w:cs="Times New Roman" w:hint="default"/>
      </w:rPr>
    </w:lvl>
    <w:lvl w:ilvl="1" w:tplc="D7CA1C0C">
      <w:start w:val="1"/>
      <w:numFmt w:val="bullet"/>
      <w:lvlText w:val="o"/>
      <w:lvlJc w:val="left"/>
      <w:pPr>
        <w:ind w:left="1440" w:hanging="360"/>
      </w:pPr>
      <w:rPr>
        <w:rFonts w:ascii="Courier New" w:hAnsi="Courier New" w:cs="Times New Roman" w:hint="default"/>
      </w:rPr>
    </w:lvl>
    <w:lvl w:ilvl="2" w:tplc="66D22450">
      <w:start w:val="1"/>
      <w:numFmt w:val="bullet"/>
      <w:lvlText w:val=""/>
      <w:lvlJc w:val="left"/>
      <w:pPr>
        <w:ind w:left="2160" w:hanging="360"/>
      </w:pPr>
      <w:rPr>
        <w:rFonts w:ascii="Wingdings" w:hAnsi="Wingdings" w:hint="default"/>
      </w:rPr>
    </w:lvl>
    <w:lvl w:ilvl="3" w:tplc="694AADDA">
      <w:start w:val="1"/>
      <w:numFmt w:val="bullet"/>
      <w:lvlText w:val=""/>
      <w:lvlJc w:val="left"/>
      <w:pPr>
        <w:ind w:left="2880" w:hanging="360"/>
      </w:pPr>
      <w:rPr>
        <w:rFonts w:ascii="Symbol" w:hAnsi="Symbol" w:hint="default"/>
      </w:rPr>
    </w:lvl>
    <w:lvl w:ilvl="4" w:tplc="2348F678">
      <w:start w:val="1"/>
      <w:numFmt w:val="bullet"/>
      <w:lvlText w:val="o"/>
      <w:lvlJc w:val="left"/>
      <w:pPr>
        <w:ind w:left="3600" w:hanging="360"/>
      </w:pPr>
      <w:rPr>
        <w:rFonts w:ascii="Courier New" w:hAnsi="Courier New" w:cs="Times New Roman" w:hint="default"/>
      </w:rPr>
    </w:lvl>
    <w:lvl w:ilvl="5" w:tplc="F0CC46DE">
      <w:start w:val="1"/>
      <w:numFmt w:val="bullet"/>
      <w:lvlText w:val=""/>
      <w:lvlJc w:val="left"/>
      <w:pPr>
        <w:ind w:left="4320" w:hanging="360"/>
      </w:pPr>
      <w:rPr>
        <w:rFonts w:ascii="Wingdings" w:hAnsi="Wingdings" w:hint="default"/>
      </w:rPr>
    </w:lvl>
    <w:lvl w:ilvl="6" w:tplc="44A6EED6">
      <w:start w:val="1"/>
      <w:numFmt w:val="bullet"/>
      <w:lvlText w:val=""/>
      <w:lvlJc w:val="left"/>
      <w:pPr>
        <w:ind w:left="5040" w:hanging="360"/>
      </w:pPr>
      <w:rPr>
        <w:rFonts w:ascii="Symbol" w:hAnsi="Symbol" w:hint="default"/>
      </w:rPr>
    </w:lvl>
    <w:lvl w:ilvl="7" w:tplc="3D38014E">
      <w:start w:val="1"/>
      <w:numFmt w:val="bullet"/>
      <w:lvlText w:val="o"/>
      <w:lvlJc w:val="left"/>
      <w:pPr>
        <w:ind w:left="5760" w:hanging="360"/>
      </w:pPr>
      <w:rPr>
        <w:rFonts w:ascii="Courier New" w:hAnsi="Courier New" w:cs="Times New Roman" w:hint="default"/>
      </w:rPr>
    </w:lvl>
    <w:lvl w:ilvl="8" w:tplc="4AA4F9EA">
      <w:start w:val="1"/>
      <w:numFmt w:val="bullet"/>
      <w:lvlText w:val=""/>
      <w:lvlJc w:val="left"/>
      <w:pPr>
        <w:ind w:left="6480" w:hanging="360"/>
      </w:pPr>
      <w:rPr>
        <w:rFonts w:ascii="Wingdings" w:hAnsi="Wingdings" w:hint="default"/>
      </w:rPr>
    </w:lvl>
  </w:abstractNum>
  <w:abstractNum w:abstractNumId="2" w15:restartNumberingAfterBreak="0">
    <w:nsid w:val="10C57FF2"/>
    <w:multiLevelType w:val="hybridMultilevel"/>
    <w:tmpl w:val="E07820CA"/>
    <w:lvl w:ilvl="0" w:tplc="DB32A6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27D46"/>
    <w:multiLevelType w:val="hybridMultilevel"/>
    <w:tmpl w:val="6A721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97BFD"/>
    <w:multiLevelType w:val="hybridMultilevel"/>
    <w:tmpl w:val="AE6C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F0250"/>
    <w:multiLevelType w:val="hybridMultilevel"/>
    <w:tmpl w:val="4B78A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92A91"/>
    <w:multiLevelType w:val="hybridMultilevel"/>
    <w:tmpl w:val="8ABE402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F1E39"/>
    <w:multiLevelType w:val="hybridMultilevel"/>
    <w:tmpl w:val="7630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B0F38"/>
    <w:multiLevelType w:val="hybridMultilevel"/>
    <w:tmpl w:val="01D8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674BC"/>
    <w:multiLevelType w:val="hybridMultilevel"/>
    <w:tmpl w:val="4E00C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80F17"/>
    <w:multiLevelType w:val="hybridMultilevel"/>
    <w:tmpl w:val="C820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52C48"/>
    <w:multiLevelType w:val="hybridMultilevel"/>
    <w:tmpl w:val="4A9E06B8"/>
    <w:lvl w:ilvl="0" w:tplc="78189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359418D"/>
    <w:multiLevelType w:val="hybridMultilevel"/>
    <w:tmpl w:val="76F6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622AF"/>
    <w:multiLevelType w:val="hybridMultilevel"/>
    <w:tmpl w:val="A9DA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15936"/>
    <w:multiLevelType w:val="hybridMultilevel"/>
    <w:tmpl w:val="F47CC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314634"/>
    <w:multiLevelType w:val="hybridMultilevel"/>
    <w:tmpl w:val="D4984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6C06909"/>
    <w:multiLevelType w:val="hybridMultilevel"/>
    <w:tmpl w:val="8F7C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275ED"/>
    <w:multiLevelType w:val="hybridMultilevel"/>
    <w:tmpl w:val="4BB248A8"/>
    <w:lvl w:ilvl="0" w:tplc="C1A42F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69527276">
    <w:abstractNumId w:val="3"/>
  </w:num>
  <w:num w:numId="2" w16cid:durableId="1756200394">
    <w:abstractNumId w:val="10"/>
  </w:num>
  <w:num w:numId="3" w16cid:durableId="1249655473">
    <w:abstractNumId w:val="13"/>
  </w:num>
  <w:num w:numId="4" w16cid:durableId="1677994003">
    <w:abstractNumId w:val="16"/>
  </w:num>
  <w:num w:numId="5" w16cid:durableId="1287085404">
    <w:abstractNumId w:val="7"/>
  </w:num>
  <w:num w:numId="6" w16cid:durableId="695732563">
    <w:abstractNumId w:val="8"/>
  </w:num>
  <w:num w:numId="7" w16cid:durableId="1758281504">
    <w:abstractNumId w:val="0"/>
  </w:num>
  <w:num w:numId="8" w16cid:durableId="1337536581">
    <w:abstractNumId w:val="15"/>
  </w:num>
  <w:num w:numId="9" w16cid:durableId="225654500">
    <w:abstractNumId w:val="5"/>
  </w:num>
  <w:num w:numId="10" w16cid:durableId="2111971519">
    <w:abstractNumId w:val="9"/>
  </w:num>
  <w:num w:numId="11" w16cid:durableId="961376147">
    <w:abstractNumId w:val="4"/>
  </w:num>
  <w:num w:numId="12" w16cid:durableId="1435320994">
    <w:abstractNumId w:val="14"/>
  </w:num>
  <w:num w:numId="13" w16cid:durableId="808397112">
    <w:abstractNumId w:val="11"/>
  </w:num>
  <w:num w:numId="14" w16cid:durableId="1303463787">
    <w:abstractNumId w:val="17"/>
  </w:num>
  <w:num w:numId="15" w16cid:durableId="1290817181">
    <w:abstractNumId w:val="6"/>
  </w:num>
  <w:num w:numId="16" w16cid:durableId="1523862585">
    <w:abstractNumId w:val="2"/>
  </w:num>
  <w:num w:numId="17" w16cid:durableId="249197104">
    <w:abstractNumId w:val="1"/>
  </w:num>
  <w:num w:numId="18" w16cid:durableId="1798610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AF"/>
    <w:rsid w:val="00037E64"/>
    <w:rsid w:val="00041221"/>
    <w:rsid w:val="000424CF"/>
    <w:rsid w:val="00043CFA"/>
    <w:rsid w:val="00092A80"/>
    <w:rsid w:val="00092CBD"/>
    <w:rsid w:val="000944D9"/>
    <w:rsid w:val="000C5B3F"/>
    <w:rsid w:val="000CBC27"/>
    <w:rsid w:val="000D7A9E"/>
    <w:rsid w:val="000E3A22"/>
    <w:rsid w:val="001007BB"/>
    <w:rsid w:val="0010479C"/>
    <w:rsid w:val="001057B4"/>
    <w:rsid w:val="00116679"/>
    <w:rsid w:val="00121A69"/>
    <w:rsid w:val="00125055"/>
    <w:rsid w:val="001253CD"/>
    <w:rsid w:val="00127992"/>
    <w:rsid w:val="00127FD7"/>
    <w:rsid w:val="001305B4"/>
    <w:rsid w:val="00170990"/>
    <w:rsid w:val="00186E9F"/>
    <w:rsid w:val="00197682"/>
    <w:rsid w:val="001A306F"/>
    <w:rsid w:val="001A65E9"/>
    <w:rsid w:val="001D4DCA"/>
    <w:rsid w:val="001E1D22"/>
    <w:rsid w:val="001E2B8E"/>
    <w:rsid w:val="001E44DA"/>
    <w:rsid w:val="001E4AE1"/>
    <w:rsid w:val="00206E54"/>
    <w:rsid w:val="00227181"/>
    <w:rsid w:val="00232F09"/>
    <w:rsid w:val="00234A70"/>
    <w:rsid w:val="002360EC"/>
    <w:rsid w:val="002403FF"/>
    <w:rsid w:val="00264876"/>
    <w:rsid w:val="00292469"/>
    <w:rsid w:val="002B78D4"/>
    <w:rsid w:val="002C1F67"/>
    <w:rsid w:val="002C45F8"/>
    <w:rsid w:val="002D0E90"/>
    <w:rsid w:val="002E7665"/>
    <w:rsid w:val="002F4C64"/>
    <w:rsid w:val="00313DCD"/>
    <w:rsid w:val="003228CF"/>
    <w:rsid w:val="00347037"/>
    <w:rsid w:val="00365A3E"/>
    <w:rsid w:val="00390360"/>
    <w:rsid w:val="00397DA7"/>
    <w:rsid w:val="003B75B0"/>
    <w:rsid w:val="003C3C81"/>
    <w:rsid w:val="003D5640"/>
    <w:rsid w:val="003E383B"/>
    <w:rsid w:val="003F7CBC"/>
    <w:rsid w:val="00400277"/>
    <w:rsid w:val="004034E7"/>
    <w:rsid w:val="00406350"/>
    <w:rsid w:val="00412C6C"/>
    <w:rsid w:val="00413233"/>
    <w:rsid w:val="00422278"/>
    <w:rsid w:val="0045040D"/>
    <w:rsid w:val="004556A2"/>
    <w:rsid w:val="004563B6"/>
    <w:rsid w:val="00471373"/>
    <w:rsid w:val="004724D9"/>
    <w:rsid w:val="00475B67"/>
    <w:rsid w:val="00497549"/>
    <w:rsid w:val="004C6EB5"/>
    <w:rsid w:val="004D6A21"/>
    <w:rsid w:val="004D6F2A"/>
    <w:rsid w:val="004E4245"/>
    <w:rsid w:val="004F27D2"/>
    <w:rsid w:val="00522021"/>
    <w:rsid w:val="00523CC4"/>
    <w:rsid w:val="0052555D"/>
    <w:rsid w:val="00535CD0"/>
    <w:rsid w:val="00550365"/>
    <w:rsid w:val="00561F7B"/>
    <w:rsid w:val="00567B30"/>
    <w:rsid w:val="005747AE"/>
    <w:rsid w:val="00575634"/>
    <w:rsid w:val="00582AF4"/>
    <w:rsid w:val="00593025"/>
    <w:rsid w:val="00593467"/>
    <w:rsid w:val="005C1C50"/>
    <w:rsid w:val="005C26BB"/>
    <w:rsid w:val="005D0E38"/>
    <w:rsid w:val="005D221D"/>
    <w:rsid w:val="005F05DA"/>
    <w:rsid w:val="005F5F38"/>
    <w:rsid w:val="00622531"/>
    <w:rsid w:val="00634244"/>
    <w:rsid w:val="00635742"/>
    <w:rsid w:val="00637DB1"/>
    <w:rsid w:val="00640F31"/>
    <w:rsid w:val="00671B9F"/>
    <w:rsid w:val="00680D1B"/>
    <w:rsid w:val="0068796C"/>
    <w:rsid w:val="006C4CE5"/>
    <w:rsid w:val="006C7C17"/>
    <w:rsid w:val="007110F5"/>
    <w:rsid w:val="00714DE6"/>
    <w:rsid w:val="00726490"/>
    <w:rsid w:val="007804E7"/>
    <w:rsid w:val="007B4E83"/>
    <w:rsid w:val="007E31B6"/>
    <w:rsid w:val="008137BE"/>
    <w:rsid w:val="00813F2A"/>
    <w:rsid w:val="00814A7C"/>
    <w:rsid w:val="00846B43"/>
    <w:rsid w:val="0086377F"/>
    <w:rsid w:val="008938F9"/>
    <w:rsid w:val="008948BA"/>
    <w:rsid w:val="008957AF"/>
    <w:rsid w:val="008A2C99"/>
    <w:rsid w:val="008B3088"/>
    <w:rsid w:val="008D5624"/>
    <w:rsid w:val="008E65C2"/>
    <w:rsid w:val="008F0107"/>
    <w:rsid w:val="009237B0"/>
    <w:rsid w:val="00924152"/>
    <w:rsid w:val="0092453E"/>
    <w:rsid w:val="00932822"/>
    <w:rsid w:val="00936169"/>
    <w:rsid w:val="00953EA4"/>
    <w:rsid w:val="00964819"/>
    <w:rsid w:val="00973FA2"/>
    <w:rsid w:val="009908A2"/>
    <w:rsid w:val="00995CB4"/>
    <w:rsid w:val="009C1008"/>
    <w:rsid w:val="009F00F9"/>
    <w:rsid w:val="00A41B7F"/>
    <w:rsid w:val="00A47FE8"/>
    <w:rsid w:val="00A5689F"/>
    <w:rsid w:val="00A77212"/>
    <w:rsid w:val="00A82ED4"/>
    <w:rsid w:val="00A87BA1"/>
    <w:rsid w:val="00AD16FA"/>
    <w:rsid w:val="00AD6D94"/>
    <w:rsid w:val="00AE398B"/>
    <w:rsid w:val="00AE6013"/>
    <w:rsid w:val="00AF0D2A"/>
    <w:rsid w:val="00B001F6"/>
    <w:rsid w:val="00B14515"/>
    <w:rsid w:val="00B247A4"/>
    <w:rsid w:val="00B54B44"/>
    <w:rsid w:val="00B62EDE"/>
    <w:rsid w:val="00B72FF7"/>
    <w:rsid w:val="00B8578F"/>
    <w:rsid w:val="00BB50CE"/>
    <w:rsid w:val="00BC0BFC"/>
    <w:rsid w:val="00BE5FFD"/>
    <w:rsid w:val="00C11853"/>
    <w:rsid w:val="00C12548"/>
    <w:rsid w:val="00C3067E"/>
    <w:rsid w:val="00C40306"/>
    <w:rsid w:val="00C645C8"/>
    <w:rsid w:val="00C66CB9"/>
    <w:rsid w:val="00C97C77"/>
    <w:rsid w:val="00CC49EE"/>
    <w:rsid w:val="00CD592B"/>
    <w:rsid w:val="00CF2C1C"/>
    <w:rsid w:val="00CF5377"/>
    <w:rsid w:val="00D12D53"/>
    <w:rsid w:val="00D37E85"/>
    <w:rsid w:val="00D615F5"/>
    <w:rsid w:val="00D73939"/>
    <w:rsid w:val="00DA2E8F"/>
    <w:rsid w:val="00DA5816"/>
    <w:rsid w:val="00DB2585"/>
    <w:rsid w:val="00DC592B"/>
    <w:rsid w:val="00DC6826"/>
    <w:rsid w:val="00DC6D1B"/>
    <w:rsid w:val="00DD1F46"/>
    <w:rsid w:val="00E15F05"/>
    <w:rsid w:val="00E215C6"/>
    <w:rsid w:val="00E21D59"/>
    <w:rsid w:val="00E54C5E"/>
    <w:rsid w:val="00E568AD"/>
    <w:rsid w:val="00E628A6"/>
    <w:rsid w:val="00E66165"/>
    <w:rsid w:val="00EB0903"/>
    <w:rsid w:val="00EB71B1"/>
    <w:rsid w:val="00ED253C"/>
    <w:rsid w:val="00F152F6"/>
    <w:rsid w:val="00F17DFD"/>
    <w:rsid w:val="00F24754"/>
    <w:rsid w:val="00F2744E"/>
    <w:rsid w:val="00F3742E"/>
    <w:rsid w:val="00F40D0D"/>
    <w:rsid w:val="00F4420B"/>
    <w:rsid w:val="00F516B5"/>
    <w:rsid w:val="00F8271B"/>
    <w:rsid w:val="00F831EF"/>
    <w:rsid w:val="00FA4E00"/>
    <w:rsid w:val="00FB4E54"/>
    <w:rsid w:val="00FB5FDA"/>
    <w:rsid w:val="00FD76B3"/>
    <w:rsid w:val="00FE6A73"/>
    <w:rsid w:val="00FF547F"/>
    <w:rsid w:val="01A88C88"/>
    <w:rsid w:val="025E7BC9"/>
    <w:rsid w:val="03C6AC45"/>
    <w:rsid w:val="03D60481"/>
    <w:rsid w:val="0407FA31"/>
    <w:rsid w:val="0487D075"/>
    <w:rsid w:val="05417987"/>
    <w:rsid w:val="0571D4E2"/>
    <w:rsid w:val="05961C8B"/>
    <w:rsid w:val="05A3CA92"/>
    <w:rsid w:val="05B12515"/>
    <w:rsid w:val="0655996D"/>
    <w:rsid w:val="06D0F04F"/>
    <w:rsid w:val="06F01D2B"/>
    <w:rsid w:val="070DA543"/>
    <w:rsid w:val="0963781D"/>
    <w:rsid w:val="0A454605"/>
    <w:rsid w:val="0A506551"/>
    <w:rsid w:val="0B6C054A"/>
    <w:rsid w:val="0BE4D34A"/>
    <w:rsid w:val="0CEB3F2F"/>
    <w:rsid w:val="0D485446"/>
    <w:rsid w:val="0E404E5F"/>
    <w:rsid w:val="0FCA0E81"/>
    <w:rsid w:val="10489E2C"/>
    <w:rsid w:val="1177EF21"/>
    <w:rsid w:val="1280441E"/>
    <w:rsid w:val="131E000B"/>
    <w:rsid w:val="1327CC4D"/>
    <w:rsid w:val="140EB70B"/>
    <w:rsid w:val="158FE632"/>
    <w:rsid w:val="159317F8"/>
    <w:rsid w:val="15D244B9"/>
    <w:rsid w:val="164B6044"/>
    <w:rsid w:val="172BB693"/>
    <w:rsid w:val="1881922D"/>
    <w:rsid w:val="1883277A"/>
    <w:rsid w:val="19E1C919"/>
    <w:rsid w:val="1A9C2403"/>
    <w:rsid w:val="1B426C6E"/>
    <w:rsid w:val="1B91B339"/>
    <w:rsid w:val="1C02D4EF"/>
    <w:rsid w:val="1D3711C4"/>
    <w:rsid w:val="1ECDEEC0"/>
    <w:rsid w:val="1F4DC4CB"/>
    <w:rsid w:val="20FBD2EE"/>
    <w:rsid w:val="2296D9F3"/>
    <w:rsid w:val="22AF6EB2"/>
    <w:rsid w:val="22CF5FB2"/>
    <w:rsid w:val="23E617A4"/>
    <w:rsid w:val="24272A3B"/>
    <w:rsid w:val="25C2FA9C"/>
    <w:rsid w:val="269CFEB5"/>
    <w:rsid w:val="27D7D1AB"/>
    <w:rsid w:val="28047412"/>
    <w:rsid w:val="281FA6B9"/>
    <w:rsid w:val="28EBF162"/>
    <w:rsid w:val="2B6D8377"/>
    <w:rsid w:val="2C90C6D1"/>
    <w:rsid w:val="2CC73B21"/>
    <w:rsid w:val="2CF317DC"/>
    <w:rsid w:val="2DBF6CF3"/>
    <w:rsid w:val="2F09997A"/>
    <w:rsid w:val="2FF72B7D"/>
    <w:rsid w:val="305415FD"/>
    <w:rsid w:val="30AD0211"/>
    <w:rsid w:val="310C3715"/>
    <w:rsid w:val="312FDCC3"/>
    <w:rsid w:val="32984A39"/>
    <w:rsid w:val="332DD185"/>
    <w:rsid w:val="34453B8B"/>
    <w:rsid w:val="34DC4F10"/>
    <w:rsid w:val="35041CDA"/>
    <w:rsid w:val="36D25874"/>
    <w:rsid w:val="377779A5"/>
    <w:rsid w:val="381D79EE"/>
    <w:rsid w:val="38267581"/>
    <w:rsid w:val="38518D2E"/>
    <w:rsid w:val="3901A7F2"/>
    <w:rsid w:val="3A711E56"/>
    <w:rsid w:val="3BDC11DB"/>
    <w:rsid w:val="3E545E6A"/>
    <w:rsid w:val="3E6B29CC"/>
    <w:rsid w:val="3EDB4074"/>
    <w:rsid w:val="3FBE47DE"/>
    <w:rsid w:val="40CF3EC9"/>
    <w:rsid w:val="4294C1B6"/>
    <w:rsid w:val="43409343"/>
    <w:rsid w:val="43443676"/>
    <w:rsid w:val="435FDFEB"/>
    <w:rsid w:val="45CFD297"/>
    <w:rsid w:val="48181D8A"/>
    <w:rsid w:val="48D46C3D"/>
    <w:rsid w:val="49C9CBBC"/>
    <w:rsid w:val="49EDF34B"/>
    <w:rsid w:val="4B48A716"/>
    <w:rsid w:val="4B89C3AC"/>
    <w:rsid w:val="4C66CDAA"/>
    <w:rsid w:val="4D6520A8"/>
    <w:rsid w:val="4EDCDC31"/>
    <w:rsid w:val="4F00F109"/>
    <w:rsid w:val="4F9DB7ED"/>
    <w:rsid w:val="5078AC92"/>
    <w:rsid w:val="51F90530"/>
    <w:rsid w:val="523F89EA"/>
    <w:rsid w:val="5394D591"/>
    <w:rsid w:val="53E812FA"/>
    <w:rsid w:val="5401A84B"/>
    <w:rsid w:val="54FEAD5B"/>
    <w:rsid w:val="55223441"/>
    <w:rsid w:val="563FE0A8"/>
    <w:rsid w:val="56F8CEDE"/>
    <w:rsid w:val="57078D91"/>
    <w:rsid w:val="57D6C08C"/>
    <w:rsid w:val="58C83761"/>
    <w:rsid w:val="5A041715"/>
    <w:rsid w:val="5AB7EE58"/>
    <w:rsid w:val="5CEBD186"/>
    <w:rsid w:val="5D621C15"/>
    <w:rsid w:val="5DFEE2F9"/>
    <w:rsid w:val="5E2BD5E3"/>
    <w:rsid w:val="5E55DF08"/>
    <w:rsid w:val="5F0CFC3E"/>
    <w:rsid w:val="600F33A7"/>
    <w:rsid w:val="605D0775"/>
    <w:rsid w:val="607708E4"/>
    <w:rsid w:val="63F0C2E0"/>
    <w:rsid w:val="646E247D"/>
    <w:rsid w:val="64A30F85"/>
    <w:rsid w:val="64EEC1B4"/>
    <w:rsid w:val="65FFB518"/>
    <w:rsid w:val="670D1FE6"/>
    <w:rsid w:val="6750E948"/>
    <w:rsid w:val="67DAB047"/>
    <w:rsid w:val="688E68E6"/>
    <w:rsid w:val="6955FCC7"/>
    <w:rsid w:val="6BE45D04"/>
    <w:rsid w:val="6C664B7C"/>
    <w:rsid w:val="6C6BA8F9"/>
    <w:rsid w:val="6C719724"/>
    <w:rsid w:val="6DA9BE27"/>
    <w:rsid w:val="6E2C7637"/>
    <w:rsid w:val="6E52DA75"/>
    <w:rsid w:val="6EEBFA24"/>
    <w:rsid w:val="6F1C8119"/>
    <w:rsid w:val="6F227A68"/>
    <w:rsid w:val="6F635A2D"/>
    <w:rsid w:val="70D18D01"/>
    <w:rsid w:val="70D75DCA"/>
    <w:rsid w:val="71191A64"/>
    <w:rsid w:val="72710249"/>
    <w:rsid w:val="732FE308"/>
    <w:rsid w:val="739A6B18"/>
    <w:rsid w:val="73E197AE"/>
    <w:rsid w:val="7578E302"/>
    <w:rsid w:val="758F7AAE"/>
    <w:rsid w:val="763F75A2"/>
    <w:rsid w:val="7654F918"/>
    <w:rsid w:val="77F6BDC6"/>
    <w:rsid w:val="78C37689"/>
    <w:rsid w:val="79367894"/>
    <w:rsid w:val="79928E27"/>
    <w:rsid w:val="79958D1C"/>
    <w:rsid w:val="79B82B2C"/>
    <w:rsid w:val="7A4109C1"/>
    <w:rsid w:val="7B315D7D"/>
    <w:rsid w:val="7C030F69"/>
    <w:rsid w:val="7D3B66E6"/>
    <w:rsid w:val="7D96E7AC"/>
    <w:rsid w:val="7E4A8787"/>
    <w:rsid w:val="7E970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EDF58"/>
  <w15:chartTrackingRefBased/>
  <w15:docId w15:val="{9FB0D457-EF23-4281-B538-4688D47E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AF"/>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582AF4"/>
    <w:pPr>
      <w:keepNext/>
      <w:keepLines/>
      <w:spacing w:before="400" w:after="200"/>
      <w:outlineLvl w:val="0"/>
    </w:pPr>
    <w:rPr>
      <w:rFonts w:eastAsiaTheme="majorEastAsia"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7AF"/>
    <w:pPr>
      <w:tabs>
        <w:tab w:val="center" w:pos="4320"/>
        <w:tab w:val="right" w:pos="8640"/>
      </w:tabs>
    </w:pPr>
  </w:style>
  <w:style w:type="character" w:customStyle="1" w:styleId="HeaderChar">
    <w:name w:val="Header Char"/>
    <w:basedOn w:val="DefaultParagraphFont"/>
    <w:link w:val="Header"/>
    <w:uiPriority w:val="99"/>
    <w:rsid w:val="008957AF"/>
    <w:rPr>
      <w:rFonts w:ascii="Arial" w:eastAsiaTheme="minorEastAsia" w:hAnsi="Arial"/>
      <w:sz w:val="24"/>
      <w:szCs w:val="24"/>
    </w:rPr>
  </w:style>
  <w:style w:type="paragraph" w:styleId="Footer">
    <w:name w:val="footer"/>
    <w:basedOn w:val="Normal"/>
    <w:link w:val="FooterChar"/>
    <w:uiPriority w:val="99"/>
    <w:unhideWhenUsed/>
    <w:rsid w:val="008957AF"/>
    <w:pPr>
      <w:tabs>
        <w:tab w:val="center" w:pos="4320"/>
        <w:tab w:val="right" w:pos="8640"/>
      </w:tabs>
    </w:pPr>
  </w:style>
  <w:style w:type="character" w:customStyle="1" w:styleId="FooterChar">
    <w:name w:val="Footer Char"/>
    <w:basedOn w:val="DefaultParagraphFont"/>
    <w:link w:val="Footer"/>
    <w:uiPriority w:val="99"/>
    <w:rsid w:val="008957AF"/>
    <w:rPr>
      <w:rFonts w:ascii="Arial" w:eastAsiaTheme="minorEastAsia" w:hAnsi="Arial"/>
      <w:sz w:val="24"/>
      <w:szCs w:val="24"/>
    </w:rPr>
  </w:style>
  <w:style w:type="character" w:styleId="PageNumber">
    <w:name w:val="page number"/>
    <w:basedOn w:val="DefaultParagraphFont"/>
    <w:uiPriority w:val="99"/>
    <w:semiHidden/>
    <w:unhideWhenUsed/>
    <w:rsid w:val="008957AF"/>
  </w:style>
  <w:style w:type="table" w:customStyle="1" w:styleId="TableGrid1">
    <w:name w:val="Table Grid1"/>
    <w:basedOn w:val="TableNormal"/>
    <w:rsid w:val="008957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FA2"/>
    <w:rPr>
      <w:color w:val="0000FF" w:themeColor="hyperlink"/>
      <w:u w:val="single"/>
    </w:rPr>
  </w:style>
  <w:style w:type="paragraph" w:styleId="ListParagraph">
    <w:name w:val="List Paragraph"/>
    <w:basedOn w:val="Normal"/>
    <w:uiPriority w:val="34"/>
    <w:qFormat/>
    <w:rsid w:val="00973FA2"/>
    <w:pPr>
      <w:ind w:left="720"/>
      <w:contextualSpacing/>
    </w:pPr>
  </w:style>
  <w:style w:type="character" w:styleId="FollowedHyperlink">
    <w:name w:val="FollowedHyperlink"/>
    <w:basedOn w:val="DefaultParagraphFont"/>
    <w:uiPriority w:val="99"/>
    <w:semiHidden/>
    <w:unhideWhenUsed/>
    <w:rsid w:val="002F4C64"/>
    <w:rPr>
      <w:color w:val="800080" w:themeColor="followedHyperlink"/>
      <w:u w:val="single"/>
    </w:rPr>
  </w:style>
  <w:style w:type="character" w:styleId="UnresolvedMention">
    <w:name w:val="Unresolved Mention"/>
    <w:basedOn w:val="DefaultParagraphFont"/>
    <w:uiPriority w:val="99"/>
    <w:semiHidden/>
    <w:unhideWhenUsed/>
    <w:rsid w:val="00DB2585"/>
    <w:rPr>
      <w:color w:val="605E5C"/>
      <w:shd w:val="clear" w:color="auto" w:fill="E1DFDD"/>
    </w:rPr>
  </w:style>
  <w:style w:type="character" w:styleId="CommentReference">
    <w:name w:val="annotation reference"/>
    <w:basedOn w:val="DefaultParagraphFont"/>
    <w:uiPriority w:val="99"/>
    <w:semiHidden/>
    <w:unhideWhenUsed/>
    <w:rsid w:val="00E215C6"/>
    <w:rPr>
      <w:sz w:val="16"/>
      <w:szCs w:val="16"/>
    </w:rPr>
  </w:style>
  <w:style w:type="paragraph" w:styleId="CommentText">
    <w:name w:val="annotation text"/>
    <w:basedOn w:val="Normal"/>
    <w:link w:val="CommentTextChar"/>
    <w:uiPriority w:val="99"/>
    <w:unhideWhenUsed/>
    <w:rsid w:val="00E215C6"/>
    <w:rPr>
      <w:sz w:val="20"/>
      <w:szCs w:val="20"/>
    </w:rPr>
  </w:style>
  <w:style w:type="character" w:customStyle="1" w:styleId="CommentTextChar">
    <w:name w:val="Comment Text Char"/>
    <w:basedOn w:val="DefaultParagraphFont"/>
    <w:link w:val="CommentText"/>
    <w:uiPriority w:val="99"/>
    <w:rsid w:val="00E215C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215C6"/>
    <w:rPr>
      <w:b/>
      <w:bCs/>
    </w:rPr>
  </w:style>
  <w:style w:type="character" w:customStyle="1" w:styleId="CommentSubjectChar">
    <w:name w:val="Comment Subject Char"/>
    <w:basedOn w:val="CommentTextChar"/>
    <w:link w:val="CommentSubject"/>
    <w:uiPriority w:val="99"/>
    <w:semiHidden/>
    <w:rsid w:val="00E215C6"/>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E21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5C6"/>
    <w:rPr>
      <w:rFonts w:ascii="Segoe UI" w:eastAsiaTheme="minorEastAsia" w:hAnsi="Segoe UI" w:cs="Segoe UI"/>
      <w:sz w:val="18"/>
      <w:szCs w:val="18"/>
    </w:rPr>
  </w:style>
  <w:style w:type="table" w:styleId="TableGrid">
    <w:name w:val="Table Grid"/>
    <w:basedOn w:val="TableNormal"/>
    <w:uiPriority w:val="59"/>
    <w:rsid w:val="0063424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4244"/>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634244"/>
    <w:rPr>
      <w:sz w:val="20"/>
      <w:szCs w:val="20"/>
    </w:rPr>
  </w:style>
  <w:style w:type="character" w:styleId="FootnoteReference">
    <w:name w:val="footnote reference"/>
    <w:basedOn w:val="DefaultParagraphFont"/>
    <w:uiPriority w:val="99"/>
    <w:semiHidden/>
    <w:unhideWhenUsed/>
    <w:rsid w:val="00634244"/>
    <w:rPr>
      <w:vertAlign w:val="superscript"/>
    </w:rPr>
  </w:style>
  <w:style w:type="paragraph" w:styleId="Revision">
    <w:name w:val="Revision"/>
    <w:hidden/>
    <w:uiPriority w:val="99"/>
    <w:semiHidden/>
    <w:rsid w:val="009F00F9"/>
    <w:pPr>
      <w:spacing w:after="0" w:line="240" w:lineRule="auto"/>
    </w:pPr>
    <w:rPr>
      <w:rFonts w:ascii="Arial" w:eastAsiaTheme="minorEastAsia" w:hAnsi="Arial"/>
      <w:sz w:val="24"/>
      <w:szCs w:val="24"/>
    </w:rPr>
  </w:style>
  <w:style w:type="character" w:customStyle="1" w:styleId="cf01">
    <w:name w:val="cf01"/>
    <w:basedOn w:val="DefaultParagraphFont"/>
    <w:rsid w:val="003228CF"/>
    <w:rPr>
      <w:rFonts w:ascii="Segoe UI" w:hAnsi="Segoe UI" w:cs="Segoe UI" w:hint="default"/>
      <w:sz w:val="18"/>
      <w:szCs w:val="18"/>
    </w:rPr>
  </w:style>
  <w:style w:type="character" w:customStyle="1" w:styleId="Heading1Char">
    <w:name w:val="Heading 1 Char"/>
    <w:basedOn w:val="DefaultParagraphFont"/>
    <w:link w:val="Heading1"/>
    <w:uiPriority w:val="9"/>
    <w:rsid w:val="00582AF4"/>
    <w:rPr>
      <w:rFonts w:ascii="Arial" w:eastAsiaTheme="majorEastAsia" w:hAnsi="Arial" w:cs="Arial"/>
      <w:b/>
      <w:bCs/>
      <w:color w:val="A0005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mc-uk.org/registration-and-licensing/the-medical-register/a-guide-to-the-medical-register/specialist-registr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employers.org/-/media/Employers/Documents/Pay-and-reward/Junior-Doctors/NHSDoctorsandDentistsinTrainingEnglandTCS2016VERSION8231219.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rotect-eu.mimecast.com/s/RvNQCwKv9ig579NSViV9S?domain=copmed.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86A3338-31B2-4C75-B1CA-418E58EF241D}"/>
      </w:docPartPr>
      <w:docPartBody>
        <w:p w:rsidR="001A339A" w:rsidRDefault="001A33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339A"/>
    <w:rsid w:val="00020A74"/>
    <w:rsid w:val="001470ED"/>
    <w:rsid w:val="001A339A"/>
    <w:rsid w:val="002259F8"/>
    <w:rsid w:val="00234BC0"/>
    <w:rsid w:val="0043706C"/>
    <w:rsid w:val="00526E1A"/>
    <w:rsid w:val="00657BE1"/>
    <w:rsid w:val="00682EA3"/>
    <w:rsid w:val="006C6DA6"/>
    <w:rsid w:val="00817230"/>
    <w:rsid w:val="00E4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Andrew Wright</DisplayName>
        <AccountId>172</AccountId>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C2BF0-E048-4096-A273-07671DC22B7E}">
  <ds:schemaRefs>
    <ds:schemaRef ds:uri="http://schemas.microsoft.com/office/2006/metadata/properties"/>
    <ds:schemaRef ds:uri="http://schemas.microsoft.com/office/infopath/2007/PartnerControls"/>
    <ds:schemaRef ds:uri="3106b67d-f1ca-4542-9e9d-56502f2e5123"/>
  </ds:schemaRefs>
</ds:datastoreItem>
</file>

<file path=customXml/itemProps2.xml><?xml version="1.0" encoding="utf-8"?>
<ds:datastoreItem xmlns:ds="http://schemas.openxmlformats.org/officeDocument/2006/customXml" ds:itemID="{967E8062-F6D0-49C1-A26F-DD5149C4B0C2}"/>
</file>

<file path=customXml/itemProps3.xml><?xml version="1.0" encoding="utf-8"?>
<ds:datastoreItem xmlns:ds="http://schemas.openxmlformats.org/officeDocument/2006/customXml" ds:itemID="{D3797263-A529-495E-860A-36B5ABA69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2181</Words>
  <Characters>12432</Characters>
  <Application>Microsoft Office Word</Application>
  <DocSecurity>0</DocSecurity>
  <Lines>103</Lines>
  <Paragraphs>29</Paragraphs>
  <ScaleCrop>false</ScaleCrop>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Evans</dc:creator>
  <cp:keywords/>
  <dc:description/>
  <cp:lastModifiedBy>Claire Francis</cp:lastModifiedBy>
  <cp:revision>47</cp:revision>
  <cp:lastPrinted>2022-10-26T20:44:00Z</cp:lastPrinted>
  <dcterms:created xsi:type="dcterms:W3CDTF">2022-07-23T03:34:00Z</dcterms:created>
  <dcterms:modified xsi:type="dcterms:W3CDTF">2023-07-31T14:06:00Z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1250700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SharedWithUsers">
    <vt:lpwstr>272;#Karen Booker</vt:lpwstr>
  </property>
  <property fmtid="{D5CDD505-2E9C-101B-9397-08002B2CF9AE}" pid="10" name="TriggerFlowInfo">
    <vt:lpwstr/>
  </property>
</Properties>
</file>